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佛山市机关事务管理局公务用车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保险项目采购需求</w:t>
      </w:r>
    </w:p>
    <w:p>
      <w:pPr>
        <w:pStyle w:val="2"/>
        <w:rPr>
          <w:rFonts w:hint="eastAsia"/>
          <w:b w:val="0"/>
          <w:bCs w:val="0"/>
        </w:rPr>
      </w:pPr>
    </w:p>
    <w:p>
      <w:pPr>
        <w:numPr>
          <w:ilvl w:val="0"/>
          <w:numId w:val="0"/>
        </w:numPr>
        <w:tabs>
          <w:tab w:val="left" w:pos="574"/>
        </w:tabs>
        <w:adjustRightInd w:val="0"/>
        <w:snapToGrid w:val="0"/>
        <w:spacing w:line="360" w:lineRule="auto"/>
        <w:ind w:leftChars="0" w:firstLine="480" w:firstLineChars="200"/>
        <w:jc w:val="both"/>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一、采购项目名称</w:t>
      </w:r>
    </w:p>
    <w:p>
      <w:pPr>
        <w:pStyle w:val="6"/>
        <w:numPr>
          <w:ilvl w:val="0"/>
          <w:numId w:val="0"/>
        </w:numPr>
        <w:spacing w:line="360" w:lineRule="auto"/>
        <w:ind w:firstLine="240" w:firstLineChars="100"/>
        <w:jc w:val="both"/>
        <w:rPr>
          <w:rFonts w:hint="eastAsia" w:asciiTheme="minorEastAsia" w:hAnsiTheme="minorEastAsia" w:eastAsiaTheme="minorEastAsia" w:cstheme="minorEastAsia"/>
          <w:b w:val="0"/>
          <w:i w:val="0"/>
          <w:sz w:val="24"/>
          <w:szCs w:val="24"/>
          <w:shd w:val="clear"/>
        </w:rPr>
      </w:pPr>
      <w:r>
        <w:rPr>
          <w:rFonts w:hint="eastAsia" w:asciiTheme="minorEastAsia" w:hAnsiTheme="minorEastAsia" w:cstheme="minorEastAsia"/>
          <w:b w:val="0"/>
          <w:i w:val="0"/>
          <w:caps w:val="0"/>
          <w:spacing w:val="0"/>
          <w:sz w:val="24"/>
          <w:szCs w:val="24"/>
          <w:shd w:val="clear"/>
          <w:lang w:val="en-US" w:eastAsia="zh-CN"/>
        </w:rPr>
        <w:t xml:space="preserve"> </w:t>
      </w:r>
      <w:r>
        <w:rPr>
          <w:rFonts w:hint="eastAsia" w:asciiTheme="minorEastAsia" w:hAnsiTheme="minorEastAsia" w:eastAsiaTheme="minorEastAsia" w:cstheme="minorEastAsia"/>
          <w:b w:val="0"/>
          <w:i w:val="0"/>
          <w:caps w:val="0"/>
          <w:spacing w:val="0"/>
          <w:kern w:val="2"/>
          <w:sz w:val="24"/>
          <w:szCs w:val="24"/>
          <w:shd w:val="clear"/>
          <w:lang w:eastAsia="zh-CN"/>
        </w:rPr>
        <w:t>佛山市</w:t>
      </w:r>
      <w:r>
        <w:rPr>
          <w:rFonts w:hint="eastAsia" w:asciiTheme="minorEastAsia" w:hAnsiTheme="minorEastAsia" w:eastAsiaTheme="minorEastAsia" w:cstheme="minorEastAsia"/>
          <w:kern w:val="2"/>
          <w:sz w:val="24"/>
          <w:szCs w:val="24"/>
          <w:shd w:val="clear"/>
        </w:rPr>
        <w:t>机关事务管理局</w:t>
      </w:r>
      <w:r>
        <w:rPr>
          <w:rFonts w:hint="eastAsia" w:asciiTheme="minorEastAsia" w:hAnsiTheme="minorEastAsia" w:eastAsiaTheme="minorEastAsia" w:cstheme="minorEastAsia"/>
          <w:b w:val="0"/>
          <w:i w:val="0"/>
          <w:caps w:val="0"/>
          <w:spacing w:val="0"/>
          <w:kern w:val="2"/>
          <w:sz w:val="24"/>
          <w:szCs w:val="24"/>
          <w:shd w:val="clear"/>
          <w:lang w:eastAsia="zh-CN"/>
        </w:rPr>
        <w:t>公务用车</w:t>
      </w:r>
      <w:r>
        <w:rPr>
          <w:rFonts w:hint="eastAsia" w:asciiTheme="minorEastAsia" w:hAnsiTheme="minorEastAsia" w:eastAsiaTheme="minorEastAsia" w:cstheme="minorEastAsia"/>
          <w:b w:val="0"/>
          <w:i w:val="0"/>
          <w:caps w:val="0"/>
          <w:spacing w:val="0"/>
          <w:kern w:val="2"/>
          <w:sz w:val="24"/>
          <w:szCs w:val="24"/>
          <w:shd w:val="clear"/>
        </w:rPr>
        <w:t>保险项目</w:t>
      </w:r>
    </w:p>
    <w:p>
      <w:pPr>
        <w:numPr>
          <w:ilvl w:val="0"/>
          <w:numId w:val="0"/>
        </w:numPr>
        <w:tabs>
          <w:tab w:val="left" w:pos="574"/>
        </w:tabs>
        <w:adjustRightInd w:val="0"/>
        <w:snapToGrid w:val="0"/>
        <w:spacing w:line="360" w:lineRule="auto"/>
        <w:ind w:leftChars="0" w:firstLine="480" w:firstLineChars="200"/>
        <w:jc w:val="both"/>
        <w:rPr>
          <w:rFonts w:hint="eastAsia" w:ascii="黑体" w:hAnsi="黑体" w:eastAsia="黑体" w:cs="黑体"/>
          <w:b/>
          <w:sz w:val="24"/>
          <w:szCs w:val="24"/>
        </w:rPr>
      </w:pPr>
      <w:bookmarkStart w:id="0" w:name="EB4e2f4fe8c1f643d3a9aeffcc4a7554ff"/>
      <w:r>
        <w:rPr>
          <w:rFonts w:hint="eastAsia" w:ascii="黑体" w:hAnsi="黑体" w:eastAsia="黑体" w:cs="黑体"/>
          <w:b w:val="0"/>
          <w:bCs w:val="0"/>
          <w:sz w:val="24"/>
          <w:szCs w:val="24"/>
          <w:lang w:val="en-US" w:eastAsia="zh-CN"/>
        </w:rPr>
        <w:t>二、项目概况</w:t>
      </w:r>
      <w:bookmarkEnd w:id="0"/>
    </w:p>
    <w:p>
      <w:pPr>
        <w:ind w:firstLine="480" w:firstLineChars="200"/>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佛山市机关事务管理局有3</w:t>
      </w:r>
      <w:r>
        <w:rPr>
          <w:rFonts w:hint="eastAsia" w:asciiTheme="minorEastAsia" w:hAnsiTheme="minorEastAsia" w:cstheme="minorEastAsia"/>
          <w:kern w:val="2"/>
          <w:sz w:val="24"/>
          <w:szCs w:val="24"/>
          <w:lang w:val="en-US" w:eastAsia="zh-CN" w:bidi="ar-SA"/>
        </w:rPr>
        <w:t>7</w:t>
      </w:r>
      <w:r>
        <w:rPr>
          <w:rFonts w:hint="eastAsia" w:asciiTheme="minorEastAsia" w:hAnsiTheme="minorEastAsia" w:eastAsiaTheme="minorEastAsia" w:cstheme="minorEastAsia"/>
          <w:kern w:val="2"/>
          <w:sz w:val="24"/>
          <w:szCs w:val="24"/>
          <w:lang w:val="en-US" w:eastAsia="zh-CN" w:bidi="ar-SA"/>
        </w:rPr>
        <w:t>辆公务用车(</w:t>
      </w:r>
      <w:r>
        <w:rPr>
          <w:rFonts w:hint="eastAsia" w:asciiTheme="minorEastAsia" w:hAnsiTheme="minorEastAsia" w:cstheme="minorEastAsia"/>
          <w:kern w:val="2"/>
          <w:sz w:val="24"/>
          <w:szCs w:val="24"/>
          <w:lang w:val="en-US" w:eastAsia="zh-CN" w:bidi="ar-SA"/>
        </w:rPr>
        <w:t>详见：</w:t>
      </w:r>
      <w:r>
        <w:rPr>
          <w:rFonts w:hint="eastAsia" w:asciiTheme="minorEastAsia" w:hAnsiTheme="minorEastAsia" w:eastAsiaTheme="minorEastAsia" w:cstheme="minorEastAsia"/>
          <w:sz w:val="24"/>
          <w:szCs w:val="24"/>
          <w:lang w:val="en-US" w:eastAsia="zh-CN"/>
        </w:rPr>
        <w:t>公务用车明细表)</w:t>
      </w:r>
      <w:r>
        <w:rPr>
          <w:rFonts w:hint="eastAsia" w:asciiTheme="minorEastAsia" w:hAnsiTheme="minorEastAsia" w:eastAsiaTheme="minorEastAsia" w:cstheme="minorEastAsia"/>
          <w:kern w:val="2"/>
          <w:sz w:val="24"/>
          <w:szCs w:val="24"/>
          <w:lang w:val="en-US" w:eastAsia="zh-CN" w:bidi="ar-SA"/>
        </w:rPr>
        <w:t>，为做好车辆续保工作，拟采购一家供应商负责车辆承保服务。</w:t>
      </w:r>
    </w:p>
    <w:p>
      <w:pPr>
        <w:numPr>
          <w:ilvl w:val="0"/>
          <w:numId w:val="0"/>
        </w:numPr>
        <w:tabs>
          <w:tab w:val="left" w:pos="574"/>
        </w:tabs>
        <w:adjustRightInd w:val="0"/>
        <w:snapToGrid w:val="0"/>
        <w:spacing w:line="360" w:lineRule="auto"/>
        <w:ind w:leftChars="0" w:firstLine="480" w:firstLineChars="200"/>
        <w:jc w:val="both"/>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三、保险险种范围及其它事项</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1.机动车交通事故强制险</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2.机动车商业保险包括：</w:t>
      </w:r>
    </w:p>
    <w:p>
      <w:pPr>
        <w:keepNext w:val="0"/>
        <w:keepLines w:val="0"/>
        <w:pageBreakBefore w:val="0"/>
        <w:widowControl w:val="0"/>
        <w:kinsoku/>
        <w:wordWrap/>
        <w:overflowPunct/>
        <w:topLinePunct w:val="0"/>
        <w:autoSpaceDE/>
        <w:autoSpaceDN/>
        <w:bidi w:val="0"/>
        <w:adjustRightInd/>
        <w:snapToGrid/>
        <w:ind w:left="479" w:leftChars="228" w:firstLine="0" w:firstLineChars="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①机动车损失险</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包含</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车损+自燃险+涉水险+盗抢险+玻璃险+不计免赔+无法找到第三方</w:t>
      </w:r>
      <w:r>
        <w:rPr>
          <w:rFonts w:hint="eastAsia" w:asciiTheme="minorEastAsia" w:hAnsiTheme="minorEastAsia" w:cstheme="minorEastAsia"/>
          <w:sz w:val="24"/>
          <w:szCs w:val="24"/>
          <w:lang w:eastAsia="zh-CN"/>
        </w:rPr>
        <w:t>）</w:t>
      </w:r>
      <w:r>
        <w:rPr>
          <w:rFonts w:hint="eastAsia" w:asciiTheme="minorEastAsia" w:hAnsiTheme="minorEastAsia" w:eastAsiaTheme="minorEastAsia" w:cstheme="minorEastAsia"/>
          <w:sz w:val="24"/>
          <w:szCs w:val="24"/>
        </w:rPr>
        <w:t>；</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②第三者责任险，投保</w:t>
      </w:r>
      <w:r>
        <w:rPr>
          <w:rFonts w:hint="eastAsia" w:asciiTheme="minorEastAsia" w:hAnsiTheme="minorEastAsia" w:cstheme="minorEastAsia"/>
          <w:sz w:val="24"/>
          <w:szCs w:val="24"/>
          <w:lang w:val="en-US" w:eastAsia="zh-CN"/>
        </w:rPr>
        <w:t>2</w:t>
      </w:r>
      <w:r>
        <w:rPr>
          <w:rFonts w:hint="eastAsia" w:asciiTheme="minorEastAsia" w:hAnsiTheme="minorEastAsia" w:eastAsiaTheme="minorEastAsia" w:cstheme="minorEastAsia"/>
          <w:sz w:val="24"/>
          <w:szCs w:val="24"/>
        </w:rPr>
        <w:t>00万元；</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③车上司机责任险，责任限额10万；</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④车上乘客责任险，每座责任限额10万。</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3.车船税。</w:t>
      </w:r>
    </w:p>
    <w:p>
      <w:pPr>
        <w:numPr>
          <w:ilvl w:val="0"/>
          <w:numId w:val="0"/>
        </w:numPr>
        <w:tabs>
          <w:tab w:val="left" w:pos="574"/>
        </w:tabs>
        <w:adjustRightInd w:val="0"/>
        <w:snapToGrid w:val="0"/>
        <w:spacing w:line="360" w:lineRule="auto"/>
        <w:ind w:leftChars="0" w:firstLine="480" w:firstLineChars="200"/>
        <w:jc w:val="both"/>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四、供应商资格</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具备《政府采购法》第二十二条规定的条件；</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（1）具有独立承担民事责任的能力；</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（2）具有良好的商业信誉和健全的财务会计制度；</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（3）具有履行合同所必需的设备和专业技术能力；</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（4）有依法缴纳税收和社会保障资金的良好记录；</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（5）参加政府采购活动</w:t>
      </w:r>
      <w:r>
        <w:rPr>
          <w:rFonts w:hint="eastAsia" w:asciiTheme="minorEastAsia" w:hAnsiTheme="minorEastAsia" w:cstheme="minorEastAsia"/>
          <w:sz w:val="24"/>
          <w:szCs w:val="24"/>
          <w:lang w:eastAsia="zh-CN"/>
        </w:rPr>
        <w:t>近</w:t>
      </w:r>
      <w:r>
        <w:rPr>
          <w:rFonts w:hint="eastAsia" w:asciiTheme="minorEastAsia" w:hAnsiTheme="minorEastAsia" w:eastAsiaTheme="minorEastAsia" w:cstheme="minorEastAsia"/>
          <w:sz w:val="24"/>
          <w:szCs w:val="24"/>
        </w:rPr>
        <w:t>三年内，在经营活动中没有重大违法记录；</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（6）法律、行政法规规定的其他条件。</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2.供应商须在中国大陆境内合法注册，能独立承担民事责任。</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供应商未被列入“信用中国”网站(www.creditchina.gov.cn)“记录失信被执行人或税收违法黑名单（即原“重大税收违法案件当事人名单”）”记录名单；不处于中国政府采购网(www.ccgp.gov.cn)“政府采购严重违法失信行为信息记录”中的禁止参加政府采购活动期间。（以采购代理机构于投标（响应）截止时间当天在“信用中国”网站（www.creditchina.gov.cn） 及中国政府采购网（http://www.ccgp.gov.cn/）查询结果为准，如相关失信记录已失效，供应商需提供相关</w:t>
      </w:r>
      <w:r>
        <w:rPr>
          <w:rFonts w:hint="eastAsia" w:asciiTheme="minorEastAsia" w:hAnsiTheme="minorEastAsia" w:cstheme="minorEastAsia"/>
          <w:sz w:val="24"/>
          <w:szCs w:val="24"/>
          <w:lang w:eastAsia="zh-CN"/>
        </w:rPr>
        <w:t>纸质</w:t>
      </w:r>
      <w:r>
        <w:rPr>
          <w:rFonts w:hint="eastAsia" w:asciiTheme="minorEastAsia" w:hAnsiTheme="minorEastAsia" w:eastAsiaTheme="minorEastAsia" w:cstheme="minorEastAsia"/>
          <w:sz w:val="24"/>
          <w:szCs w:val="24"/>
        </w:rPr>
        <w:t>证明资料）。</w:t>
      </w:r>
    </w:p>
    <w:p>
      <w:pPr>
        <w:numPr>
          <w:ilvl w:val="0"/>
          <w:numId w:val="0"/>
        </w:numPr>
        <w:tabs>
          <w:tab w:val="left" w:pos="574"/>
        </w:tabs>
        <w:adjustRightInd w:val="0"/>
        <w:snapToGrid w:val="0"/>
        <w:spacing w:line="360" w:lineRule="auto"/>
        <w:ind w:leftChars="0" w:firstLine="480" w:firstLineChars="200"/>
        <w:jc w:val="both"/>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五、管理基本要求</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1.保单受理及退保</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①供应商须设立专用服务平台及专用服务热线，为采购人提供预约、咨询、报案、救助、投诉等全方位的快速便捷服务，并指定</w:t>
      </w:r>
      <w:r>
        <w:rPr>
          <w:rFonts w:hint="eastAsia" w:asciiTheme="minorEastAsia" w:hAnsiTheme="minorEastAsia" w:cstheme="minorEastAsia"/>
          <w:sz w:val="24"/>
          <w:szCs w:val="24"/>
          <w:lang w:eastAsia="zh-CN"/>
        </w:rPr>
        <w:t>保险专员</w:t>
      </w:r>
      <w:r>
        <w:rPr>
          <w:rFonts w:hint="eastAsia" w:asciiTheme="minorEastAsia" w:hAnsiTheme="minorEastAsia" w:eastAsiaTheme="minorEastAsia" w:cstheme="minorEastAsia"/>
          <w:sz w:val="24"/>
          <w:szCs w:val="24"/>
        </w:rPr>
        <w:t>受理</w:t>
      </w:r>
      <w:r>
        <w:rPr>
          <w:rFonts w:hint="eastAsia" w:asciiTheme="minorEastAsia" w:hAnsiTheme="minorEastAsia" w:cstheme="minorEastAsia"/>
          <w:sz w:val="24"/>
          <w:szCs w:val="24"/>
          <w:lang w:eastAsia="zh-CN"/>
        </w:rPr>
        <w:t>采购人</w:t>
      </w:r>
      <w:r>
        <w:rPr>
          <w:rFonts w:hint="eastAsia" w:asciiTheme="minorEastAsia" w:hAnsiTheme="minorEastAsia" w:eastAsiaTheme="minorEastAsia" w:cstheme="minorEastAsia"/>
          <w:sz w:val="24"/>
          <w:szCs w:val="24"/>
        </w:rPr>
        <w:t>投保业务，确定出险报案业务员</w:t>
      </w:r>
      <w:r>
        <w:rPr>
          <w:rFonts w:hint="eastAsia" w:asciiTheme="minorEastAsia" w:hAnsiTheme="minorEastAsia" w:cstheme="minorEastAsia"/>
          <w:sz w:val="24"/>
          <w:szCs w:val="24"/>
          <w:lang w:eastAsia="zh-CN"/>
        </w:rPr>
        <w:t>。</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②</w:t>
      </w:r>
      <w:r>
        <w:rPr>
          <w:rFonts w:hint="eastAsia" w:asciiTheme="minorEastAsia" w:hAnsiTheme="minorEastAsia" w:cstheme="minorEastAsia"/>
          <w:sz w:val="24"/>
          <w:szCs w:val="24"/>
          <w:lang w:eastAsia="zh-CN"/>
        </w:rPr>
        <w:t>保险专员应在每月</w:t>
      </w:r>
      <w:r>
        <w:rPr>
          <w:rFonts w:hint="eastAsia" w:asciiTheme="minorEastAsia" w:hAnsiTheme="minorEastAsia" w:cstheme="minorEastAsia"/>
          <w:sz w:val="24"/>
          <w:szCs w:val="24"/>
          <w:lang w:val="en-US" w:eastAsia="zh-CN"/>
        </w:rPr>
        <w:t>5日前向采购人提供近30日保险到期车辆续保费用书面申请，</w:t>
      </w:r>
      <w:r>
        <w:rPr>
          <w:rFonts w:hint="eastAsia" w:asciiTheme="minorEastAsia" w:hAnsiTheme="minorEastAsia" w:eastAsiaTheme="minorEastAsia" w:cstheme="minorEastAsia"/>
          <w:sz w:val="24"/>
          <w:szCs w:val="24"/>
        </w:rPr>
        <w:t>并</w:t>
      </w:r>
      <w:r>
        <w:rPr>
          <w:rFonts w:hint="eastAsia" w:asciiTheme="minorEastAsia" w:hAnsiTheme="minorEastAsia" w:cstheme="minorEastAsia"/>
          <w:sz w:val="24"/>
          <w:szCs w:val="24"/>
          <w:lang w:eastAsia="zh-CN"/>
        </w:rPr>
        <w:t>跟进</w:t>
      </w:r>
      <w:r>
        <w:rPr>
          <w:rFonts w:hint="eastAsia" w:asciiTheme="minorEastAsia" w:hAnsiTheme="minorEastAsia" w:eastAsiaTheme="minorEastAsia" w:cstheme="minorEastAsia"/>
          <w:sz w:val="24"/>
          <w:szCs w:val="24"/>
        </w:rPr>
        <w:t>办理有关手续。</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w:t>
      </w:r>
      <w:r>
        <w:rPr>
          <w:rFonts w:hint="eastAsia" w:asciiTheme="minorEastAsia" w:hAnsiTheme="minorEastAsia" w:cstheme="minorEastAsia"/>
          <w:sz w:val="24"/>
          <w:szCs w:val="24"/>
          <w:lang w:eastAsia="zh-CN"/>
        </w:rPr>
        <w:t>车辆发生过户或报废，</w:t>
      </w:r>
      <w:r>
        <w:rPr>
          <w:rFonts w:hint="eastAsia" w:asciiTheme="minorEastAsia" w:hAnsiTheme="minorEastAsia" w:eastAsiaTheme="minorEastAsia" w:cstheme="minorEastAsia"/>
          <w:sz w:val="24"/>
          <w:szCs w:val="24"/>
        </w:rPr>
        <w:t>采购人要求</w:t>
      </w:r>
      <w:r>
        <w:rPr>
          <w:rFonts w:hint="eastAsia" w:asciiTheme="minorEastAsia" w:hAnsiTheme="minorEastAsia" w:cstheme="minorEastAsia"/>
          <w:sz w:val="24"/>
          <w:szCs w:val="24"/>
          <w:lang w:eastAsia="zh-CN"/>
        </w:rPr>
        <w:t>保险过户或</w:t>
      </w:r>
      <w:r>
        <w:rPr>
          <w:rFonts w:hint="eastAsia" w:asciiTheme="minorEastAsia" w:hAnsiTheme="minorEastAsia" w:eastAsiaTheme="minorEastAsia" w:cstheme="minorEastAsia"/>
          <w:sz w:val="24"/>
          <w:szCs w:val="24"/>
        </w:rPr>
        <w:t>退保，供应商</w:t>
      </w:r>
      <w:r>
        <w:rPr>
          <w:rFonts w:hint="eastAsia" w:asciiTheme="minorEastAsia" w:hAnsiTheme="minorEastAsia" w:cstheme="minorEastAsia"/>
          <w:sz w:val="24"/>
          <w:szCs w:val="24"/>
          <w:lang w:eastAsia="zh-CN"/>
        </w:rPr>
        <w:t>应</w:t>
      </w:r>
      <w:r>
        <w:rPr>
          <w:rFonts w:hint="eastAsia" w:asciiTheme="minorEastAsia" w:hAnsiTheme="minorEastAsia" w:eastAsiaTheme="minorEastAsia" w:cstheme="minorEastAsia"/>
          <w:sz w:val="24"/>
          <w:szCs w:val="24"/>
        </w:rPr>
        <w:t>及时上门服务，保费应以天为单位计算退回。</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④本合同到期后</w:t>
      </w:r>
      <w:r>
        <w:rPr>
          <w:rFonts w:hint="eastAsia" w:asciiTheme="minorEastAsia" w:hAnsiTheme="minorEastAsia" w:cstheme="minorEastAsia"/>
          <w:sz w:val="24"/>
          <w:szCs w:val="24"/>
          <w:lang w:eastAsia="zh-CN"/>
        </w:rPr>
        <w:t>车辆</w:t>
      </w:r>
      <w:r>
        <w:rPr>
          <w:rFonts w:hint="eastAsia" w:asciiTheme="minorEastAsia" w:hAnsiTheme="minorEastAsia" w:eastAsiaTheme="minorEastAsia" w:cstheme="minorEastAsia"/>
          <w:sz w:val="24"/>
          <w:szCs w:val="24"/>
        </w:rPr>
        <w:t>投保期限未到期，则采购人继续享有本合同赋予的权利。</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2.事故报案</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w:t>
      </w:r>
      <w:r>
        <w:rPr>
          <w:rFonts w:hint="eastAsia" w:asciiTheme="minorEastAsia" w:hAnsiTheme="minorEastAsia" w:cstheme="minorEastAsia"/>
          <w:sz w:val="24"/>
          <w:szCs w:val="24"/>
          <w:lang w:eastAsia="zh-CN"/>
        </w:rPr>
        <w:t>供应</w:t>
      </w:r>
      <w:r>
        <w:rPr>
          <w:rFonts w:hint="eastAsia" w:asciiTheme="minorEastAsia" w:hAnsiTheme="minorEastAsia" w:eastAsiaTheme="minorEastAsia" w:cstheme="minorEastAsia"/>
          <w:sz w:val="24"/>
          <w:szCs w:val="24"/>
        </w:rPr>
        <w:t>商须设有24小时全天候报案服务电话，可全年365天随时接受采购人的出险报案，专人受理理赔报案等，以提升车险服务质量，保证采购人获得优先服务的权利。</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②采购人因不可抗拒原因无法在规定的时间内报案，应认可采购人事后出具的书面说明，并视同为及时报案。</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3.道路救援</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①供应商提供VIP客户服务，包括接电、拖车加油、加水、更换轮胎、现场抢修、小故障现场排除、拖车牵引等服务；对于以上服务，</w:t>
      </w:r>
      <w:r>
        <w:rPr>
          <w:rFonts w:hint="eastAsia" w:asciiTheme="minorEastAsia" w:hAnsiTheme="minorEastAsia" w:cstheme="minorEastAsia"/>
          <w:sz w:val="24"/>
          <w:szCs w:val="24"/>
          <w:lang w:eastAsia="zh-CN"/>
        </w:rPr>
        <w:t>供应</w:t>
      </w:r>
      <w:r>
        <w:rPr>
          <w:rFonts w:hint="eastAsia" w:asciiTheme="minorEastAsia" w:hAnsiTheme="minorEastAsia" w:eastAsiaTheme="minorEastAsia" w:cstheme="minorEastAsia"/>
          <w:sz w:val="24"/>
          <w:szCs w:val="24"/>
        </w:rPr>
        <w:t>商免收人工费和出车费，如发生部件更换则按</w:t>
      </w:r>
      <w:r>
        <w:rPr>
          <w:rFonts w:hint="eastAsia" w:asciiTheme="minorEastAsia" w:hAnsiTheme="minorEastAsia" w:cstheme="minorEastAsia"/>
          <w:sz w:val="24"/>
          <w:szCs w:val="24"/>
          <w:lang w:eastAsia="zh-CN"/>
        </w:rPr>
        <w:t>供应商采购价</w:t>
      </w:r>
      <w:r>
        <w:rPr>
          <w:rFonts w:hint="eastAsia" w:asciiTheme="minorEastAsia" w:hAnsiTheme="minorEastAsia" w:eastAsiaTheme="minorEastAsia" w:cstheme="minorEastAsia"/>
          <w:sz w:val="24"/>
          <w:szCs w:val="24"/>
        </w:rPr>
        <w:t>收取配件或耗材费用。</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②供应商在接到采购人的求救需求后，救援地点在市区</w:t>
      </w:r>
      <w:r>
        <w:rPr>
          <w:rFonts w:hint="eastAsia" w:asciiTheme="minorEastAsia" w:hAnsiTheme="minorEastAsia" w:cstheme="minorEastAsia"/>
          <w:sz w:val="24"/>
          <w:szCs w:val="24"/>
          <w:lang w:eastAsia="zh-CN"/>
        </w:rPr>
        <w:t>（禅、桂、新）</w:t>
      </w:r>
      <w:r>
        <w:rPr>
          <w:rFonts w:hint="eastAsia" w:asciiTheme="minorEastAsia" w:hAnsiTheme="minorEastAsia" w:eastAsiaTheme="minorEastAsia" w:cstheme="minorEastAsia"/>
          <w:sz w:val="24"/>
          <w:szCs w:val="24"/>
        </w:rPr>
        <w:t>范围内</w:t>
      </w:r>
      <w:r>
        <w:rPr>
          <w:rFonts w:hint="eastAsia" w:asciiTheme="minorEastAsia" w:hAnsiTheme="minorEastAsia" w:cstheme="minorEastAsia"/>
          <w:sz w:val="24"/>
          <w:szCs w:val="24"/>
          <w:lang w:eastAsia="zh-CN"/>
        </w:rPr>
        <w:t>的</w:t>
      </w:r>
      <w:r>
        <w:rPr>
          <w:rFonts w:hint="eastAsia" w:asciiTheme="minorEastAsia" w:hAnsiTheme="minorEastAsia" w:eastAsiaTheme="minorEastAsia" w:cstheme="minorEastAsia"/>
          <w:sz w:val="24"/>
          <w:szCs w:val="24"/>
        </w:rPr>
        <w:t>应在30分钟内到达现场；</w:t>
      </w:r>
      <w:r>
        <w:rPr>
          <w:rFonts w:hint="eastAsia" w:asciiTheme="minorEastAsia" w:hAnsiTheme="minorEastAsia" w:cstheme="minorEastAsia"/>
          <w:sz w:val="24"/>
          <w:szCs w:val="24"/>
          <w:lang w:eastAsia="zh-CN"/>
        </w:rPr>
        <w:t>佛山市较偏远的地区</w:t>
      </w:r>
      <w:r>
        <w:rPr>
          <w:rFonts w:hint="eastAsia" w:asciiTheme="minorEastAsia" w:hAnsiTheme="minorEastAsia" w:eastAsiaTheme="minorEastAsia" w:cstheme="minorEastAsia"/>
          <w:sz w:val="24"/>
          <w:szCs w:val="24"/>
        </w:rPr>
        <w:t>，应在</w:t>
      </w:r>
      <w:r>
        <w:rPr>
          <w:rFonts w:hint="eastAsia" w:asciiTheme="minorEastAsia" w:hAnsiTheme="minorEastAsia" w:cstheme="minorEastAsia"/>
          <w:sz w:val="24"/>
          <w:szCs w:val="24"/>
          <w:lang w:val="en-US" w:eastAsia="zh-CN"/>
        </w:rPr>
        <w:t>60</w:t>
      </w:r>
      <w:r>
        <w:rPr>
          <w:rFonts w:hint="eastAsia" w:asciiTheme="minorEastAsia" w:hAnsiTheme="minorEastAsia" w:eastAsiaTheme="minorEastAsia" w:cstheme="minorEastAsia"/>
          <w:sz w:val="24"/>
          <w:szCs w:val="24"/>
        </w:rPr>
        <w:t>分钟内到达现场。</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③发生保险责任范围内因事故投保车辆无法行驶的，如供应商无法或不能及时提供拖车服务，采购人可寻求其他途径救援。供应商应接受采购人提供的施救发票给予赔偿。 </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4.车辆修理</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①采购人有权自行选择</w:t>
      </w:r>
      <w:r>
        <w:rPr>
          <w:rFonts w:hint="eastAsia" w:asciiTheme="minorEastAsia" w:hAnsiTheme="minorEastAsia" w:cstheme="minorEastAsia"/>
          <w:sz w:val="24"/>
          <w:szCs w:val="24"/>
          <w:lang w:eastAsia="zh-CN"/>
        </w:rPr>
        <w:t>车辆</w:t>
      </w:r>
      <w:r>
        <w:rPr>
          <w:rFonts w:hint="eastAsia" w:asciiTheme="minorEastAsia" w:hAnsiTheme="minorEastAsia" w:eastAsiaTheme="minorEastAsia" w:cstheme="minorEastAsia"/>
          <w:sz w:val="24"/>
          <w:szCs w:val="24"/>
        </w:rPr>
        <w:t>维修企业，供应商必须予以配合，不得有拒绝推诿行为，未征得采购人同意，</w:t>
      </w:r>
      <w:r>
        <w:rPr>
          <w:rFonts w:hint="eastAsia" w:asciiTheme="minorEastAsia" w:hAnsiTheme="minorEastAsia" w:cstheme="minorEastAsia"/>
          <w:sz w:val="24"/>
          <w:szCs w:val="24"/>
          <w:lang w:eastAsia="zh-CN"/>
        </w:rPr>
        <w:t>供应商</w:t>
      </w:r>
      <w:r>
        <w:rPr>
          <w:rFonts w:hint="eastAsia" w:asciiTheme="minorEastAsia" w:hAnsiTheme="minorEastAsia" w:eastAsiaTheme="minorEastAsia" w:cstheme="minorEastAsia"/>
          <w:sz w:val="24"/>
          <w:szCs w:val="24"/>
        </w:rPr>
        <w:t>不得擅自指定维修企业。</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②对属于保险赔偿范围内的车损，采购人可通过授权，委托修理厂全权代办有关索赔手续。</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③若维修企业评估的维修费用与</w:t>
      </w:r>
      <w:r>
        <w:rPr>
          <w:rFonts w:hint="eastAsia" w:asciiTheme="minorEastAsia" w:hAnsiTheme="minorEastAsia" w:cstheme="minorEastAsia"/>
          <w:sz w:val="24"/>
          <w:szCs w:val="24"/>
          <w:lang w:eastAsia="zh-CN"/>
        </w:rPr>
        <w:t>供应</w:t>
      </w:r>
      <w:r>
        <w:rPr>
          <w:rFonts w:hint="eastAsia" w:asciiTheme="minorEastAsia" w:hAnsiTheme="minorEastAsia" w:eastAsiaTheme="minorEastAsia" w:cstheme="minorEastAsia"/>
          <w:sz w:val="24"/>
          <w:szCs w:val="24"/>
        </w:rPr>
        <w:t>商核定的定损金额无法达成一致意见时，采购人可委托属地具有乙级或以上车损评估资质的机构进行核价鉴证，其评估鉴证结果双方都要服从执行，所发生的评估费用由</w:t>
      </w:r>
      <w:r>
        <w:rPr>
          <w:rFonts w:hint="eastAsia" w:asciiTheme="minorEastAsia" w:hAnsiTheme="minorEastAsia" w:cstheme="minorEastAsia"/>
          <w:sz w:val="24"/>
          <w:szCs w:val="24"/>
          <w:lang w:eastAsia="zh-CN"/>
        </w:rPr>
        <w:t>供应</w:t>
      </w:r>
      <w:r>
        <w:rPr>
          <w:rFonts w:hint="eastAsia" w:asciiTheme="minorEastAsia" w:hAnsiTheme="minorEastAsia" w:eastAsiaTheme="minorEastAsia" w:cstheme="minorEastAsia"/>
          <w:sz w:val="24"/>
          <w:szCs w:val="24"/>
        </w:rPr>
        <w:t>商承担。</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5.其他服务</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w:t>
      </w:r>
      <w:r>
        <w:rPr>
          <w:rFonts w:hint="eastAsia" w:asciiTheme="minorEastAsia" w:hAnsiTheme="minorEastAsia" w:cstheme="minorEastAsia"/>
          <w:sz w:val="24"/>
          <w:szCs w:val="24"/>
          <w:lang w:eastAsia="zh-CN"/>
        </w:rPr>
        <w:t>每半年</w:t>
      </w:r>
      <w:r>
        <w:rPr>
          <w:rFonts w:hint="eastAsia" w:asciiTheme="minorEastAsia" w:hAnsiTheme="minorEastAsia" w:eastAsiaTheme="minorEastAsia" w:cstheme="minorEastAsia"/>
          <w:sz w:val="24"/>
          <w:szCs w:val="24"/>
        </w:rPr>
        <w:t>为采购人免费举办关于出险索赔程序、保险知识等方面的知识讲座及其他活动。</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②组织项目小组进行客户回访服务，收集</w:t>
      </w:r>
      <w:r>
        <w:rPr>
          <w:rFonts w:hint="eastAsia" w:asciiTheme="minorEastAsia" w:hAnsiTheme="minorEastAsia" w:cstheme="minorEastAsia"/>
          <w:sz w:val="24"/>
          <w:szCs w:val="24"/>
          <w:lang w:eastAsia="zh-CN"/>
        </w:rPr>
        <w:t>采购人</w:t>
      </w:r>
      <w:r>
        <w:rPr>
          <w:rFonts w:hint="eastAsia" w:asciiTheme="minorEastAsia" w:hAnsiTheme="minorEastAsia" w:eastAsiaTheme="minorEastAsia" w:cstheme="minorEastAsia"/>
          <w:sz w:val="24"/>
          <w:szCs w:val="24"/>
        </w:rPr>
        <w:t>反馈意见，不断提高服务质量。</w:t>
      </w:r>
    </w:p>
    <w:p>
      <w:pPr>
        <w:numPr>
          <w:ilvl w:val="0"/>
          <w:numId w:val="0"/>
        </w:numPr>
        <w:tabs>
          <w:tab w:val="left" w:pos="574"/>
        </w:tabs>
        <w:adjustRightInd w:val="0"/>
        <w:snapToGrid w:val="0"/>
        <w:spacing w:line="360" w:lineRule="auto"/>
        <w:ind w:leftChars="0" w:firstLine="480" w:firstLineChars="200"/>
        <w:jc w:val="both"/>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六、车辆出险定损定责服务要求</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1.现场查勘</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①限时查勘：</w:t>
      </w:r>
      <w:r>
        <w:rPr>
          <w:rFonts w:hint="eastAsia" w:asciiTheme="minorEastAsia" w:hAnsiTheme="minorEastAsia" w:cstheme="minorEastAsia"/>
          <w:sz w:val="24"/>
          <w:szCs w:val="24"/>
          <w:lang w:eastAsia="zh-CN"/>
        </w:rPr>
        <w:t>供应</w:t>
      </w:r>
      <w:r>
        <w:rPr>
          <w:rFonts w:hint="eastAsia" w:asciiTheme="minorEastAsia" w:hAnsiTheme="minorEastAsia" w:eastAsiaTheme="minorEastAsia" w:cstheme="minorEastAsia"/>
          <w:sz w:val="24"/>
          <w:szCs w:val="24"/>
        </w:rPr>
        <w:t>商响应在接到采购人的出险报案后，应当按照以下约定及时到达现场：</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市区</w:t>
      </w:r>
      <w:r>
        <w:rPr>
          <w:rFonts w:hint="eastAsia" w:asciiTheme="minorEastAsia" w:hAnsiTheme="minorEastAsia" w:cstheme="minorEastAsia"/>
          <w:sz w:val="24"/>
          <w:szCs w:val="24"/>
          <w:lang w:eastAsia="zh-CN"/>
        </w:rPr>
        <w:t>（禅、桂、新）</w:t>
      </w:r>
      <w:r>
        <w:rPr>
          <w:rFonts w:hint="eastAsia" w:asciiTheme="minorEastAsia" w:hAnsiTheme="minorEastAsia" w:eastAsiaTheme="minorEastAsia" w:cstheme="minorEastAsia"/>
          <w:sz w:val="24"/>
          <w:szCs w:val="24"/>
        </w:rPr>
        <w:t>范围内应在</w:t>
      </w:r>
      <w:r>
        <w:rPr>
          <w:rFonts w:hint="eastAsia" w:asciiTheme="minorEastAsia" w:hAnsiTheme="minorEastAsia" w:cstheme="minorEastAsia"/>
          <w:sz w:val="24"/>
          <w:szCs w:val="24"/>
          <w:lang w:val="en-US" w:eastAsia="zh-CN"/>
        </w:rPr>
        <w:t>20</w:t>
      </w:r>
      <w:r>
        <w:rPr>
          <w:rFonts w:hint="eastAsia" w:asciiTheme="minorEastAsia" w:hAnsiTheme="minorEastAsia" w:eastAsiaTheme="minorEastAsia" w:cstheme="minorEastAsia"/>
          <w:sz w:val="24"/>
          <w:szCs w:val="24"/>
        </w:rPr>
        <w:t>分钟内到达现场；</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cstheme="minorEastAsia"/>
          <w:sz w:val="24"/>
          <w:szCs w:val="24"/>
          <w:lang w:eastAsia="zh-CN"/>
        </w:rPr>
        <w:t>佛山市较偏远的地区</w:t>
      </w:r>
      <w:r>
        <w:rPr>
          <w:rFonts w:hint="eastAsia" w:asciiTheme="minorEastAsia" w:hAnsiTheme="minorEastAsia" w:eastAsiaTheme="minorEastAsia" w:cstheme="minorEastAsia"/>
          <w:sz w:val="24"/>
          <w:szCs w:val="24"/>
        </w:rPr>
        <w:t>，应在</w:t>
      </w:r>
      <w:r>
        <w:rPr>
          <w:rFonts w:hint="eastAsia" w:asciiTheme="minorEastAsia" w:hAnsiTheme="minorEastAsia" w:cstheme="minorEastAsia"/>
          <w:sz w:val="24"/>
          <w:szCs w:val="24"/>
          <w:lang w:val="en-US" w:eastAsia="zh-CN"/>
        </w:rPr>
        <w:t>40</w:t>
      </w:r>
      <w:r>
        <w:rPr>
          <w:rFonts w:hint="eastAsia" w:asciiTheme="minorEastAsia" w:hAnsiTheme="minorEastAsia" w:eastAsiaTheme="minorEastAsia" w:cstheme="minorEastAsia"/>
          <w:sz w:val="24"/>
          <w:szCs w:val="24"/>
        </w:rPr>
        <w:t>分钟内到达现场。</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②佛山市外地区出险可委托当地保险机构查勘，遇重大事故或客户要求应及时派人赶赴现场处理。</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③如</w:t>
      </w:r>
      <w:r>
        <w:rPr>
          <w:rFonts w:hint="eastAsia" w:asciiTheme="minorEastAsia" w:hAnsiTheme="minorEastAsia" w:cstheme="minorEastAsia"/>
          <w:sz w:val="24"/>
          <w:szCs w:val="24"/>
          <w:lang w:eastAsia="zh-CN"/>
        </w:rPr>
        <w:t>供应</w:t>
      </w:r>
      <w:r>
        <w:rPr>
          <w:rFonts w:hint="eastAsia" w:asciiTheme="minorEastAsia" w:hAnsiTheme="minorEastAsia" w:eastAsiaTheme="minorEastAsia" w:cstheme="minorEastAsia"/>
          <w:sz w:val="24"/>
          <w:szCs w:val="24"/>
        </w:rPr>
        <w:t>商无法按照约定时间到达事故现场，应以采购人提供的现场照片、损失清单、事故说明、修理发票及其他证明材料作为赔付理算依据。</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④对经过公安交通管理部门勘察的案件，可凭据公安机关出具的事故证明进行索赔。</w:t>
      </w:r>
    </w:p>
    <w:p>
      <w:pPr>
        <w:keepNext w:val="0"/>
        <w:keepLines w:val="0"/>
        <w:pageBreakBefore w:val="0"/>
        <w:widowControl w:val="0"/>
        <w:numPr>
          <w:ilvl w:val="0"/>
          <w:numId w:val="1"/>
        </w:numPr>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定责定损</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①投保车辆</w:t>
      </w:r>
      <w:r>
        <w:rPr>
          <w:rFonts w:hint="eastAsia" w:asciiTheme="minorEastAsia" w:hAnsiTheme="minorEastAsia" w:cstheme="minorEastAsia"/>
          <w:sz w:val="24"/>
          <w:szCs w:val="24"/>
          <w:lang w:eastAsia="zh-CN"/>
        </w:rPr>
        <w:t>除违反国家相关法律规定的，</w:t>
      </w:r>
      <w:r>
        <w:rPr>
          <w:rFonts w:hint="eastAsia" w:asciiTheme="minorEastAsia" w:hAnsiTheme="minorEastAsia" w:eastAsiaTheme="minorEastAsia" w:cstheme="minorEastAsia"/>
          <w:sz w:val="24"/>
          <w:szCs w:val="24"/>
        </w:rPr>
        <w:t>在</w:t>
      </w:r>
      <w:r>
        <w:rPr>
          <w:rFonts w:hint="eastAsia" w:asciiTheme="minorEastAsia" w:hAnsiTheme="minorEastAsia" w:cstheme="minorEastAsia"/>
          <w:sz w:val="24"/>
          <w:szCs w:val="24"/>
          <w:lang w:eastAsia="zh-CN"/>
        </w:rPr>
        <w:t>正常使用</w:t>
      </w:r>
      <w:r>
        <w:rPr>
          <w:rFonts w:hint="eastAsia" w:asciiTheme="minorEastAsia" w:hAnsiTheme="minorEastAsia" w:eastAsiaTheme="minorEastAsia" w:cstheme="minorEastAsia"/>
          <w:sz w:val="24"/>
          <w:szCs w:val="24"/>
        </w:rPr>
        <w:t>期间发生的任何事件均不属于免赔范围。</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w:t>
      </w:r>
      <w:r>
        <w:rPr>
          <w:rFonts w:hint="eastAsia" w:asciiTheme="minorEastAsia" w:hAnsiTheme="minorEastAsia" w:cstheme="minorEastAsia"/>
          <w:sz w:val="24"/>
          <w:szCs w:val="24"/>
          <w:lang w:eastAsia="zh-CN"/>
        </w:rPr>
        <w:t>供应</w:t>
      </w:r>
      <w:r>
        <w:rPr>
          <w:rFonts w:hint="eastAsia" w:asciiTheme="minorEastAsia" w:hAnsiTheme="minorEastAsia" w:eastAsiaTheme="minorEastAsia" w:cstheme="minorEastAsia"/>
          <w:sz w:val="24"/>
          <w:szCs w:val="24"/>
        </w:rPr>
        <w:t>商接到采购人报案后，对于属于保险责任的事故，应当按照以下约定及时定损：</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a.对于常见车型的预估车辆损失金额在人民币10,000元以下的，应在1个工作日内定损；</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b.预估损失金额在人民币10,000-50,000元，应在3个工作日内定损；</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c.预估损失金额在人民币50,000以上的，应在5个工作日内定损；</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d.对于稀缺或稀有车型，应会同采购人共同确定损失金额，5个工作日内定损。</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3.预付赔款服务。</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采购人在保险期限内合法使用保险车辆的过程中，发生保险事故，造成第三者人身伤害，需紧急抢救，</w:t>
      </w:r>
      <w:r>
        <w:rPr>
          <w:rFonts w:hint="eastAsia" w:asciiTheme="minorEastAsia" w:hAnsiTheme="minorEastAsia" w:cstheme="minorEastAsia"/>
          <w:sz w:val="24"/>
          <w:szCs w:val="24"/>
          <w:lang w:eastAsia="zh-CN"/>
        </w:rPr>
        <w:t>供应</w:t>
      </w:r>
      <w:r>
        <w:rPr>
          <w:rFonts w:hint="eastAsia" w:asciiTheme="minorEastAsia" w:hAnsiTheme="minorEastAsia" w:eastAsiaTheme="minorEastAsia" w:cstheme="minorEastAsia"/>
          <w:sz w:val="24"/>
          <w:szCs w:val="24"/>
        </w:rPr>
        <w:t>商应在责任限额范围内先行</w:t>
      </w:r>
      <w:r>
        <w:rPr>
          <w:rFonts w:hint="eastAsia" w:asciiTheme="minorEastAsia" w:hAnsiTheme="minorEastAsia" w:cstheme="minorEastAsia"/>
          <w:sz w:val="24"/>
          <w:szCs w:val="24"/>
          <w:lang w:eastAsia="zh-CN"/>
        </w:rPr>
        <w:t>预垫付</w:t>
      </w:r>
      <w:r>
        <w:rPr>
          <w:rFonts w:hint="eastAsia" w:asciiTheme="minorEastAsia" w:hAnsiTheme="minorEastAsia" w:eastAsiaTheme="minorEastAsia" w:cstheme="minorEastAsia"/>
          <w:sz w:val="24"/>
          <w:szCs w:val="24"/>
        </w:rPr>
        <w:t>。</w:t>
      </w:r>
    </w:p>
    <w:p>
      <w:pPr>
        <w:numPr>
          <w:ilvl w:val="0"/>
          <w:numId w:val="0"/>
        </w:numPr>
        <w:tabs>
          <w:tab w:val="left" w:pos="574"/>
        </w:tabs>
        <w:adjustRightInd w:val="0"/>
        <w:snapToGrid w:val="0"/>
        <w:spacing w:line="360" w:lineRule="auto"/>
        <w:ind w:leftChars="0" w:firstLine="480" w:firstLineChars="200"/>
        <w:jc w:val="both"/>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七、理赔服务要求</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1.索赔材料递交</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w:t>
      </w:r>
      <w:r>
        <w:rPr>
          <w:rFonts w:hint="eastAsia" w:asciiTheme="minorEastAsia" w:hAnsiTheme="minorEastAsia" w:cstheme="minorEastAsia"/>
          <w:sz w:val="24"/>
          <w:szCs w:val="24"/>
          <w:lang w:eastAsia="zh-CN"/>
        </w:rPr>
        <w:t>供应</w:t>
      </w:r>
      <w:r>
        <w:rPr>
          <w:rFonts w:hint="eastAsia" w:asciiTheme="minorEastAsia" w:hAnsiTheme="minorEastAsia" w:eastAsiaTheme="minorEastAsia" w:cstheme="minorEastAsia"/>
          <w:sz w:val="24"/>
          <w:szCs w:val="24"/>
        </w:rPr>
        <w:t>商接到采购人索赔材料后应立即审查核实，若认为有关证明或材料不完整，应立刻以书面或口头方式通知被保险人补充提供有关证明或材料。若</w:t>
      </w:r>
      <w:r>
        <w:rPr>
          <w:rFonts w:hint="eastAsia" w:asciiTheme="minorEastAsia" w:hAnsiTheme="minorEastAsia" w:cstheme="minorEastAsia"/>
          <w:sz w:val="24"/>
          <w:szCs w:val="24"/>
          <w:lang w:eastAsia="zh-CN"/>
        </w:rPr>
        <w:t>供应</w:t>
      </w:r>
      <w:r>
        <w:rPr>
          <w:rFonts w:hint="eastAsia" w:asciiTheme="minorEastAsia" w:hAnsiTheme="minorEastAsia" w:eastAsiaTheme="minorEastAsia" w:cstheme="minorEastAsia"/>
          <w:sz w:val="24"/>
          <w:szCs w:val="24"/>
        </w:rPr>
        <w:t>商在接到索赔资料后1个工作日内未给予有关审核意见，则视为认可索赔资料的完整性。</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②对于非道路交通事故，采购人可不必提供交通管理部门或相关部门的事故证明，但采购人有义务协助进行事故调查。</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双方车辆碰撞无人伤无物损且两车均在同一公司投保交强险及商业车辆损失险，双方客户协商同意，经现场查勘，核实事故属保险责任且事故责任明确、肇事双方两证件齐全且书面同意按交强险互碰撞原则及商业险条款规定处理，总损失在20000元以内的可免事故证明。</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2.支付赔款时效</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对于采购人提供了完整的索赔材料后，</w:t>
      </w:r>
      <w:r>
        <w:rPr>
          <w:rFonts w:hint="eastAsia" w:asciiTheme="minorEastAsia" w:hAnsiTheme="minorEastAsia" w:cstheme="minorEastAsia"/>
          <w:sz w:val="24"/>
          <w:szCs w:val="24"/>
          <w:lang w:eastAsia="zh-CN"/>
        </w:rPr>
        <w:t>供应</w:t>
      </w:r>
      <w:r>
        <w:rPr>
          <w:rFonts w:hint="eastAsia" w:asciiTheme="minorEastAsia" w:hAnsiTheme="minorEastAsia" w:eastAsiaTheme="minorEastAsia" w:cstheme="minorEastAsia"/>
          <w:sz w:val="24"/>
          <w:szCs w:val="24"/>
        </w:rPr>
        <w:t>商应按以下时限要求支付赔款：</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对于车辆损失金额在人民币5千元（含）以下，应在1个工作日内结案；</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对于车辆损失金额在人民币5千元－5万元，应在3个工作日内结案；</w:t>
      </w:r>
    </w:p>
    <w:p>
      <w:pPr>
        <w:keepNext w:val="0"/>
        <w:keepLines w:val="0"/>
        <w:pageBreakBefore w:val="0"/>
        <w:widowControl w:val="0"/>
        <w:kinsoku/>
        <w:wordWrap/>
        <w:overflowPunct/>
        <w:topLinePunct w:val="0"/>
        <w:autoSpaceDE/>
        <w:autoSpaceDN/>
        <w:bidi w:val="0"/>
        <w:adjustRightInd/>
        <w:snapToGrid/>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对于车辆损失金额在人民币5万（含）以上，应在5个工作日内结。</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rPr>
      </w:pPr>
    </w:p>
    <w:p>
      <w:pPr>
        <w:numPr>
          <w:ilvl w:val="-1"/>
          <w:numId w:val="0"/>
        </w:numPr>
        <w:tabs>
          <w:tab w:val="left" w:pos="574"/>
        </w:tabs>
        <w:adjustRightInd w:val="0"/>
        <w:snapToGrid w:val="0"/>
        <w:spacing w:line="360" w:lineRule="auto"/>
        <w:ind w:left="420" w:leftChars="200" w:firstLine="0" w:firstLineChars="0"/>
        <w:jc w:val="both"/>
        <w:rPr>
          <w:rFonts w:hint="eastAsia" w:ascii="宋体" w:hAnsi="宋体" w:eastAsia="宋体" w:cs="Times New Roman"/>
          <w:b w:val="0"/>
          <w:bCs/>
          <w:sz w:val="24"/>
          <w:szCs w:val="24"/>
          <w:lang w:eastAsia="zh-CN"/>
        </w:rPr>
      </w:pPr>
      <w:r>
        <w:rPr>
          <w:rFonts w:hint="eastAsia" w:ascii="黑体" w:hAnsi="黑体" w:eastAsia="黑体" w:cs="黑体"/>
          <w:b w:val="0"/>
          <w:bCs w:val="0"/>
          <w:sz w:val="24"/>
          <w:szCs w:val="24"/>
          <w:lang w:val="en-US" w:eastAsia="zh-CN"/>
        </w:rPr>
        <w:t>八、项目预算：</w:t>
      </w:r>
      <w:r>
        <w:rPr>
          <w:rFonts w:hint="eastAsia" w:ascii="宋体" w:hAnsi="宋体" w:eastAsia="宋体" w:cs="Times New Roman"/>
          <w:b w:val="0"/>
          <w:bCs/>
          <w:sz w:val="24"/>
          <w:szCs w:val="24"/>
        </w:rPr>
        <w:t>人民币</w:t>
      </w:r>
      <w:r>
        <w:rPr>
          <w:rFonts w:hint="eastAsia" w:ascii="宋体" w:hAnsi="宋体" w:eastAsia="宋体" w:cs="Times New Roman"/>
          <w:b w:val="0"/>
          <w:bCs/>
          <w:sz w:val="24"/>
          <w:szCs w:val="24"/>
          <w:u w:val="single"/>
        </w:rPr>
        <w:t>￥</w:t>
      </w:r>
      <w:r>
        <w:rPr>
          <w:rFonts w:hint="eastAsia" w:ascii="宋体" w:hAnsi="宋体" w:eastAsia="宋体" w:cs="Times New Roman"/>
          <w:b w:val="0"/>
          <w:bCs/>
          <w:color w:val="0000FF"/>
          <w:sz w:val="24"/>
          <w:szCs w:val="24"/>
          <w:u w:val="single"/>
          <w:lang w:val="en-US" w:eastAsia="zh-CN"/>
        </w:rPr>
        <w:t>16</w:t>
      </w:r>
      <w:r>
        <w:rPr>
          <w:rFonts w:hint="eastAsia" w:ascii="宋体" w:hAnsi="宋体" w:eastAsia="宋体" w:cs="Times New Roman"/>
          <w:b w:val="0"/>
          <w:bCs/>
          <w:sz w:val="24"/>
          <w:szCs w:val="24"/>
          <w:u w:val="single"/>
          <w:lang w:val="en-US" w:eastAsia="zh-CN"/>
        </w:rPr>
        <w:t>万</w:t>
      </w:r>
      <w:r>
        <w:rPr>
          <w:rFonts w:hint="eastAsia" w:ascii="宋体" w:hAnsi="宋体" w:eastAsia="宋体" w:cs="Times New Roman"/>
          <w:b w:val="0"/>
          <w:bCs/>
          <w:sz w:val="24"/>
          <w:szCs w:val="24"/>
        </w:rPr>
        <w:t>元</w:t>
      </w:r>
      <w:r>
        <w:rPr>
          <w:rFonts w:hint="eastAsia" w:ascii="宋体" w:hAnsi="宋体" w:eastAsia="宋体" w:cs="Times New Roman"/>
          <w:b w:val="0"/>
          <w:bCs/>
          <w:sz w:val="24"/>
          <w:szCs w:val="24"/>
          <w:lang w:eastAsia="zh-CN"/>
        </w:rPr>
        <w:t>。</w:t>
      </w:r>
    </w:p>
    <w:p>
      <w:pPr>
        <w:numPr>
          <w:ilvl w:val="-1"/>
          <w:numId w:val="0"/>
        </w:numPr>
        <w:tabs>
          <w:tab w:val="left" w:pos="574"/>
        </w:tabs>
        <w:adjustRightInd w:val="0"/>
        <w:snapToGrid w:val="0"/>
        <w:spacing w:line="360" w:lineRule="auto"/>
        <w:ind w:left="0" w:leftChars="0" w:firstLine="480" w:firstLineChars="200"/>
        <w:jc w:val="both"/>
        <w:rPr>
          <w:rFonts w:hint="eastAsia" w:ascii="宋体" w:hAnsi="宋体" w:eastAsia="宋体" w:cs="Times New Roman"/>
          <w:b/>
          <w:bCs/>
          <w:sz w:val="24"/>
          <w:szCs w:val="24"/>
        </w:rPr>
      </w:pPr>
      <w:r>
        <w:rPr>
          <w:rFonts w:hint="eastAsia" w:ascii="宋体" w:hAnsi="宋体" w:eastAsia="宋体" w:cs="Times New Roman"/>
          <w:b w:val="0"/>
          <w:bCs/>
          <w:sz w:val="24"/>
          <w:szCs w:val="24"/>
          <w:lang w:eastAsia="zh-CN"/>
        </w:rPr>
        <w:t>九、报价方式要求。</w:t>
      </w:r>
    </w:p>
    <w:p>
      <w:pPr>
        <w:numPr>
          <w:ilvl w:val="-1"/>
          <w:numId w:val="0"/>
        </w:numPr>
        <w:tabs>
          <w:tab w:val="left" w:pos="574"/>
        </w:tabs>
        <w:adjustRightInd w:val="0"/>
        <w:snapToGrid w:val="0"/>
        <w:spacing w:line="360" w:lineRule="auto"/>
        <w:ind w:leftChars="200" w:firstLine="0" w:firstLineChars="0"/>
        <w:jc w:val="both"/>
        <w:rPr>
          <w:rFonts w:hint="eastAsia" w:ascii="宋体" w:hAnsi="宋体" w:eastAsia="宋体" w:cs="Times New Roman"/>
          <w:b/>
          <w:bCs/>
          <w:sz w:val="24"/>
          <w:szCs w:val="24"/>
        </w:rPr>
      </w:pPr>
      <w:r>
        <w:rPr>
          <w:rFonts w:hint="eastAsia" w:ascii="宋体" w:hAnsi="宋体" w:eastAsia="宋体" w:cs="Times New Roman"/>
          <w:b w:val="0"/>
          <w:bCs/>
          <w:sz w:val="24"/>
          <w:szCs w:val="24"/>
          <w:lang w:eastAsia="zh-CN"/>
        </w:rPr>
        <w:t>投标金额不得超过项目预算金额，供应商可根据《</w:t>
      </w:r>
      <w:r>
        <w:rPr>
          <w:rFonts w:hint="eastAsia" w:ascii="方正楷体_GBK" w:hAnsi="方正楷体_GBK" w:eastAsia="方正楷体_GBK" w:cs="方正楷体_GBK"/>
          <w:sz w:val="28"/>
          <w:szCs w:val="28"/>
          <w:lang w:val="en-US" w:eastAsia="zh-CN"/>
        </w:rPr>
        <w:t>公务用车保险明细表</w:t>
      </w:r>
      <w:r>
        <w:rPr>
          <w:rFonts w:hint="eastAsia" w:ascii="宋体" w:hAnsi="宋体" w:eastAsia="宋体" w:cs="Times New Roman"/>
          <w:b w:val="0"/>
          <w:bCs/>
          <w:sz w:val="24"/>
          <w:szCs w:val="24"/>
          <w:lang w:eastAsia="zh-CN"/>
        </w:rPr>
        <w:t>》计算每车保险金额，合同有效期内，</w:t>
      </w:r>
      <w:r>
        <w:rPr>
          <w:rFonts w:hint="eastAsia" w:ascii="宋体" w:hAnsi="宋体" w:eastAsia="宋体" w:cs="宋体"/>
          <w:b w:val="0"/>
          <w:kern w:val="0"/>
          <w:sz w:val="24"/>
          <w:lang w:val="en-US" w:eastAsia="zh-CN"/>
        </w:rPr>
        <w:t>保险公司须提供车辆保险折扣证明材料，</w:t>
      </w:r>
      <w:r>
        <w:rPr>
          <w:rFonts w:hint="eastAsia" w:ascii="宋体" w:hAnsi="宋体" w:eastAsia="宋体" w:cs="Times New Roman"/>
          <w:b w:val="0"/>
          <w:bCs/>
          <w:sz w:val="24"/>
          <w:szCs w:val="24"/>
          <w:lang w:eastAsia="zh-CN"/>
        </w:rPr>
        <w:t>但</w:t>
      </w:r>
      <w:r>
        <w:rPr>
          <w:rFonts w:hint="eastAsia" w:ascii="宋体" w:hAnsi="宋体" w:eastAsia="宋体" w:cs="宋体"/>
          <w:sz w:val="24"/>
          <w:szCs w:val="24"/>
          <w:lang w:eastAsia="zh-CN"/>
        </w:rPr>
        <w:t>年度保险费用不高于供应商投标报出的限价</w:t>
      </w:r>
      <w:r>
        <w:rPr>
          <w:rFonts w:hint="eastAsia" w:ascii="宋体" w:hAnsi="宋体" w:eastAsia="宋体" w:cs="宋体"/>
          <w:sz w:val="24"/>
          <w:szCs w:val="24"/>
        </w:rPr>
        <w:t>。</w:t>
      </w:r>
    </w:p>
    <w:p>
      <w:pPr>
        <w:numPr>
          <w:ilvl w:val="0"/>
          <w:numId w:val="0"/>
        </w:numPr>
        <w:tabs>
          <w:tab w:val="left" w:pos="574"/>
        </w:tabs>
        <w:adjustRightInd w:val="0"/>
        <w:snapToGrid w:val="0"/>
        <w:spacing w:line="360" w:lineRule="auto"/>
        <w:ind w:leftChars="0" w:firstLine="480" w:firstLineChars="200"/>
        <w:jc w:val="both"/>
        <w:rPr>
          <w:rFonts w:hint="eastAsia" w:ascii="黑体" w:hAnsi="黑体" w:eastAsia="黑体" w:cs="黑体"/>
          <w:b w:val="0"/>
          <w:bCs w:val="0"/>
          <w:sz w:val="24"/>
          <w:szCs w:val="24"/>
          <w:lang w:val="en-US" w:eastAsia="zh-CN"/>
        </w:rPr>
      </w:pPr>
      <w:bookmarkStart w:id="1" w:name="_Toc468605572"/>
      <w:r>
        <w:rPr>
          <w:rFonts w:hint="eastAsia" w:ascii="黑体" w:hAnsi="黑体" w:eastAsia="黑体" w:cs="黑体"/>
          <w:b w:val="0"/>
          <w:bCs w:val="0"/>
          <w:sz w:val="24"/>
          <w:szCs w:val="24"/>
          <w:lang w:val="en-US" w:eastAsia="zh-CN"/>
        </w:rPr>
        <w:t>十、保险业绩</w:t>
      </w:r>
    </w:p>
    <w:p>
      <w:pPr>
        <w:numPr>
          <w:ilvl w:val="0"/>
          <w:numId w:val="0"/>
        </w:numPr>
        <w:tabs>
          <w:tab w:val="left" w:pos="567"/>
        </w:tabs>
        <w:adjustRightInd w:val="0"/>
        <w:snapToGrid w:val="0"/>
        <w:spacing w:line="360" w:lineRule="auto"/>
        <w:ind w:leftChars="0" w:firstLine="480" w:firstLineChars="200"/>
        <w:jc w:val="both"/>
        <w:rPr>
          <w:rFonts w:hint="default" w:ascii="宋体" w:hAnsi="宋体" w:cs="Times New Roman" w:eastAsiaTheme="minorEastAsia"/>
          <w:sz w:val="24"/>
          <w:szCs w:val="24"/>
          <w:lang w:val="en-US" w:eastAsia="zh-CN"/>
        </w:rPr>
      </w:pPr>
      <w:r>
        <w:rPr>
          <w:rFonts w:hint="eastAsia" w:ascii="宋体" w:hAnsi="宋体" w:eastAsia="宋体" w:cs="Times New Roman"/>
          <w:b w:val="0"/>
          <w:bCs w:val="0"/>
          <w:sz w:val="24"/>
          <w:lang w:eastAsia="zh-CN"/>
        </w:rPr>
        <w:t>供应商提供近</w:t>
      </w:r>
      <w:r>
        <w:rPr>
          <w:rFonts w:hint="eastAsia" w:ascii="宋体" w:hAnsi="宋体" w:eastAsia="宋体" w:cs="Times New Roman"/>
          <w:b w:val="0"/>
          <w:bCs w:val="0"/>
          <w:sz w:val="24"/>
          <w:lang w:val="en-US" w:eastAsia="zh-CN"/>
        </w:rPr>
        <w:t>2</w:t>
      </w:r>
      <w:r>
        <w:rPr>
          <w:rFonts w:hint="eastAsia" w:ascii="宋体" w:hAnsi="宋体" w:eastAsia="宋体" w:cs="Times New Roman"/>
          <w:b w:val="0"/>
          <w:bCs w:val="0"/>
          <w:sz w:val="24"/>
          <w:lang w:eastAsia="zh-CN"/>
        </w:rPr>
        <w:t>年与佛山市党政机关、人民团体及事业单位的保险合同首页和签署页</w:t>
      </w:r>
      <w:r>
        <w:rPr>
          <w:rFonts w:hint="eastAsia" w:ascii="宋体" w:hAnsi="宋体" w:eastAsia="宋体" w:cs="Times New Roman"/>
          <w:sz w:val="24"/>
          <w:szCs w:val="24"/>
        </w:rPr>
        <w:t>。</w:t>
      </w:r>
    </w:p>
    <w:p>
      <w:pPr>
        <w:numPr>
          <w:ilvl w:val="0"/>
          <w:numId w:val="0"/>
        </w:numPr>
        <w:tabs>
          <w:tab w:val="left" w:pos="574"/>
        </w:tabs>
        <w:adjustRightInd w:val="0"/>
        <w:snapToGrid w:val="0"/>
        <w:spacing w:line="360" w:lineRule="auto"/>
        <w:ind w:leftChars="0" w:firstLine="480" w:firstLineChars="200"/>
        <w:jc w:val="both"/>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十一、项目服务对象、服务期及地点：</w:t>
      </w:r>
      <w:bookmarkEnd w:id="1"/>
    </w:p>
    <w:p>
      <w:pPr>
        <w:numPr>
          <w:ilvl w:val="0"/>
          <w:numId w:val="0"/>
        </w:numPr>
        <w:tabs>
          <w:tab w:val="left" w:pos="709"/>
        </w:tabs>
        <w:adjustRightInd w:val="0"/>
        <w:snapToGrid w:val="0"/>
        <w:spacing w:line="360" w:lineRule="auto"/>
        <w:ind w:firstLine="480" w:firstLineChars="200"/>
        <w:jc w:val="both"/>
        <w:rPr>
          <w:rFonts w:hint="eastAsia" w:asciiTheme="minorHAnsi" w:hAnsiTheme="minorHAnsi" w:eastAsiaTheme="minorEastAsia" w:cstheme="minorBidi"/>
          <w:b w:val="0"/>
          <w:bCs w:val="0"/>
          <w:spacing w:val="0"/>
          <w:sz w:val="24"/>
          <w:szCs w:val="24"/>
        </w:rPr>
      </w:pPr>
      <w:r>
        <w:rPr>
          <w:rFonts w:hint="eastAsia"/>
          <w:b w:val="0"/>
          <w:bCs w:val="0"/>
          <w:sz w:val="24"/>
        </w:rPr>
        <w:t>①</w:t>
      </w:r>
      <w:r>
        <w:rPr>
          <w:rFonts w:hint="eastAsia" w:asciiTheme="minorHAnsi" w:hAnsiTheme="minorHAnsi" w:eastAsiaTheme="minorEastAsia" w:cstheme="minorBidi"/>
          <w:b w:val="0"/>
          <w:bCs w:val="0"/>
          <w:spacing w:val="0"/>
          <w:sz w:val="24"/>
          <w:szCs w:val="24"/>
        </w:rPr>
        <w:t>服务对象：</w:t>
      </w:r>
      <w:r>
        <w:rPr>
          <w:rFonts w:hint="eastAsia" w:asciiTheme="minorHAnsi" w:hAnsiTheme="minorHAnsi" w:eastAsiaTheme="minorEastAsia" w:cstheme="minorBidi"/>
          <w:b w:val="0"/>
          <w:bCs w:val="0"/>
          <w:kern w:val="2"/>
          <w:sz w:val="24"/>
          <w:szCs w:val="24"/>
        </w:rPr>
        <w:t>佛山市机关事务管理局。</w:t>
      </w:r>
    </w:p>
    <w:p>
      <w:pPr>
        <w:numPr>
          <w:ilvl w:val="0"/>
          <w:numId w:val="0"/>
        </w:numPr>
        <w:tabs>
          <w:tab w:val="left" w:pos="709"/>
        </w:tabs>
        <w:adjustRightInd w:val="0"/>
        <w:snapToGrid w:val="0"/>
        <w:spacing w:line="360" w:lineRule="auto"/>
        <w:ind w:leftChars="0" w:firstLine="480" w:firstLineChars="200"/>
        <w:jc w:val="both"/>
        <w:rPr>
          <w:rFonts w:hint="eastAsia" w:asciiTheme="minorHAnsi" w:hAnsiTheme="minorHAnsi" w:eastAsiaTheme="minorEastAsia" w:cstheme="minorBidi"/>
          <w:b w:val="0"/>
          <w:bCs w:val="0"/>
          <w:spacing w:val="0"/>
          <w:sz w:val="24"/>
          <w:szCs w:val="24"/>
        </w:rPr>
      </w:pPr>
      <w:r>
        <w:rPr>
          <w:rFonts w:hint="eastAsia"/>
          <w:b w:val="0"/>
          <w:bCs w:val="0"/>
          <w:sz w:val="24"/>
        </w:rPr>
        <w:t>②</w:t>
      </w:r>
      <w:r>
        <w:rPr>
          <w:rFonts w:hint="eastAsia" w:asciiTheme="minorHAnsi" w:hAnsiTheme="minorHAnsi" w:eastAsiaTheme="minorEastAsia" w:cstheme="minorBidi"/>
          <w:b w:val="0"/>
          <w:bCs w:val="0"/>
          <w:spacing w:val="0"/>
          <w:sz w:val="24"/>
          <w:szCs w:val="24"/>
        </w:rPr>
        <w:t>服务期限：</w:t>
      </w:r>
      <w:r>
        <w:rPr>
          <w:rFonts w:hint="eastAsia" w:asciiTheme="minorHAnsi" w:hAnsiTheme="minorHAnsi" w:eastAsiaTheme="minorEastAsia" w:cstheme="minorBidi"/>
          <w:b w:val="0"/>
          <w:bCs w:val="0"/>
          <w:kern w:val="2"/>
          <w:sz w:val="24"/>
          <w:szCs w:val="24"/>
        </w:rPr>
        <w:t>自合同签订之日起</w:t>
      </w:r>
      <w:r>
        <w:rPr>
          <w:rFonts w:hint="eastAsia" w:asciiTheme="minorHAnsi" w:hAnsiTheme="minorHAnsi" w:eastAsiaTheme="minorEastAsia" w:cstheme="minorBidi"/>
          <w:b w:val="0"/>
          <w:bCs w:val="0"/>
          <w:kern w:val="2"/>
          <w:sz w:val="24"/>
          <w:szCs w:val="24"/>
          <w:lang w:eastAsia="zh-CN"/>
        </w:rPr>
        <w:t>一</w:t>
      </w:r>
      <w:r>
        <w:rPr>
          <w:rFonts w:hint="eastAsia" w:asciiTheme="minorHAnsi" w:hAnsiTheme="minorHAnsi" w:eastAsiaTheme="minorEastAsia" w:cstheme="minorBidi"/>
          <w:b w:val="0"/>
          <w:bCs w:val="0"/>
          <w:kern w:val="2"/>
          <w:sz w:val="24"/>
          <w:szCs w:val="24"/>
        </w:rPr>
        <w:t>年。</w:t>
      </w:r>
    </w:p>
    <w:p>
      <w:pPr>
        <w:numPr>
          <w:ilvl w:val="0"/>
          <w:numId w:val="0"/>
        </w:numPr>
        <w:tabs>
          <w:tab w:val="left" w:pos="709"/>
        </w:tabs>
        <w:adjustRightInd w:val="0"/>
        <w:snapToGrid w:val="0"/>
        <w:spacing w:line="360" w:lineRule="auto"/>
        <w:ind w:leftChars="0" w:firstLine="480" w:firstLineChars="200"/>
        <w:jc w:val="both"/>
        <w:rPr>
          <w:rFonts w:hint="eastAsia" w:asciiTheme="minorHAnsi" w:hAnsiTheme="minorHAnsi" w:eastAsiaTheme="minorEastAsia" w:cstheme="minorBidi"/>
          <w:b w:val="0"/>
          <w:bCs w:val="0"/>
          <w:kern w:val="2"/>
          <w:sz w:val="24"/>
          <w:szCs w:val="24"/>
        </w:rPr>
      </w:pPr>
      <w:r>
        <w:rPr>
          <w:rFonts w:hint="eastAsia" w:asciiTheme="minorHAnsi" w:hAnsiTheme="minorHAnsi" w:eastAsiaTheme="minorEastAsia" w:cstheme="minorBidi"/>
          <w:b w:val="0"/>
          <w:bCs w:val="0"/>
          <w:sz w:val="24"/>
          <w:szCs w:val="24"/>
        </w:rPr>
        <w:t>③</w:t>
      </w:r>
      <w:r>
        <w:rPr>
          <w:rFonts w:hint="eastAsia" w:asciiTheme="minorHAnsi" w:hAnsiTheme="minorHAnsi" w:eastAsiaTheme="minorEastAsia" w:cstheme="minorBidi"/>
          <w:b w:val="0"/>
          <w:bCs w:val="0"/>
          <w:spacing w:val="0"/>
          <w:sz w:val="24"/>
          <w:szCs w:val="24"/>
        </w:rPr>
        <w:t>服务地点：</w:t>
      </w:r>
      <w:r>
        <w:rPr>
          <w:rFonts w:hint="eastAsia" w:asciiTheme="minorHAnsi" w:hAnsiTheme="minorHAnsi" w:eastAsiaTheme="minorEastAsia" w:cstheme="minorBidi"/>
          <w:b w:val="0"/>
          <w:bCs w:val="0"/>
          <w:sz w:val="24"/>
          <w:szCs w:val="24"/>
        </w:rPr>
        <w:t>采购人指定</w:t>
      </w:r>
      <w:r>
        <w:rPr>
          <w:rFonts w:hint="eastAsia" w:asciiTheme="minorHAnsi" w:hAnsiTheme="minorHAnsi" w:eastAsiaTheme="minorEastAsia" w:cstheme="minorBidi"/>
          <w:b w:val="0"/>
          <w:bCs w:val="0"/>
          <w:kern w:val="2"/>
          <w:sz w:val="24"/>
          <w:szCs w:val="24"/>
        </w:rPr>
        <w:t>地点。</w:t>
      </w:r>
    </w:p>
    <w:p>
      <w:pPr>
        <w:numPr>
          <w:ilvl w:val="0"/>
          <w:numId w:val="0"/>
        </w:numPr>
        <w:tabs>
          <w:tab w:val="left" w:pos="574"/>
        </w:tabs>
        <w:adjustRightInd w:val="0"/>
        <w:snapToGrid w:val="0"/>
        <w:spacing w:line="360" w:lineRule="auto"/>
        <w:ind w:leftChars="0" w:firstLine="480" w:firstLineChars="200"/>
        <w:jc w:val="both"/>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十二、付款方式</w:t>
      </w:r>
    </w:p>
    <w:p>
      <w:pPr>
        <w:numPr>
          <w:ilvl w:val="0"/>
          <w:numId w:val="0"/>
        </w:numPr>
        <w:tabs>
          <w:tab w:val="left" w:pos="567"/>
        </w:tabs>
        <w:adjustRightInd w:val="0"/>
        <w:snapToGrid w:val="0"/>
        <w:spacing w:line="360" w:lineRule="auto"/>
        <w:ind w:leftChars="0"/>
        <w:jc w:val="both"/>
        <w:rPr>
          <w:rFonts w:hint="eastAsia" w:ascii="宋体" w:hAnsi="宋体" w:eastAsia="宋体" w:cs="Times New Roman"/>
          <w:sz w:val="24"/>
          <w:szCs w:val="24"/>
        </w:rPr>
      </w:pPr>
      <w:r>
        <w:rPr>
          <w:rFonts w:hint="eastAsia" w:ascii="宋体" w:hAnsi="宋体" w:eastAsia="宋体" w:cs="Times New Roman"/>
          <w:sz w:val="24"/>
          <w:szCs w:val="24"/>
          <w:lang w:eastAsia="zh-CN"/>
        </w:rPr>
        <w:t>供应</w:t>
      </w:r>
      <w:r>
        <w:rPr>
          <w:rFonts w:hint="eastAsia" w:ascii="宋体" w:hAnsi="宋体" w:eastAsia="宋体" w:cs="Times New Roman"/>
          <w:sz w:val="24"/>
          <w:szCs w:val="24"/>
        </w:rPr>
        <w:t>商应根据采购人选择的险种，确定投保需求后,为采购人所指定车辆进行投保。保险费（含车船税）按采购批次</w:t>
      </w:r>
      <w:r>
        <w:rPr>
          <w:rFonts w:hint="eastAsia" w:ascii="宋体" w:hAnsi="宋体" w:eastAsia="宋体" w:cs="Times New Roman"/>
          <w:sz w:val="24"/>
          <w:szCs w:val="24"/>
          <w:lang w:eastAsia="zh-CN"/>
        </w:rPr>
        <w:t>非现金方式</w:t>
      </w:r>
      <w:r>
        <w:rPr>
          <w:rFonts w:hint="eastAsia" w:ascii="宋体" w:hAnsi="宋体" w:eastAsia="宋体" w:cs="Times New Roman"/>
          <w:sz w:val="24"/>
          <w:szCs w:val="24"/>
        </w:rPr>
        <w:t>进行结算。</w:t>
      </w:r>
    </w:p>
    <w:p>
      <w:pPr>
        <w:numPr>
          <w:ilvl w:val="0"/>
          <w:numId w:val="0"/>
        </w:numPr>
        <w:tabs>
          <w:tab w:val="left" w:pos="567"/>
        </w:tabs>
        <w:adjustRightInd w:val="0"/>
        <w:snapToGrid w:val="0"/>
        <w:spacing w:line="360" w:lineRule="auto"/>
        <w:ind w:leftChars="0"/>
        <w:jc w:val="both"/>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十三、违规、违约处罚情形</w:t>
      </w:r>
    </w:p>
    <w:tbl>
      <w:tblPr>
        <w:tblStyle w:val="4"/>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5760"/>
        <w:gridCol w:w="2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76" w:type="dxa"/>
            <w:shd w:val="clear" w:color="auto" w:fill="E6E6E6"/>
            <w:vAlign w:val="center"/>
          </w:tcPr>
          <w:p>
            <w:pPr>
              <w:spacing w:line="360" w:lineRule="exact"/>
              <w:jc w:val="both"/>
              <w:rPr>
                <w:rFonts w:ascii="Times New Roman" w:hAnsi="Times New Roman" w:eastAsia="宋体" w:cs="Times New Roman"/>
                <w:b/>
                <w:sz w:val="24"/>
                <w:szCs w:val="24"/>
              </w:rPr>
            </w:pPr>
            <w:r>
              <w:rPr>
                <w:rFonts w:ascii="Times New Roman" w:hAnsi="Times New Roman" w:eastAsia="宋体" w:cs="Times New Roman"/>
                <w:b/>
                <w:sz w:val="24"/>
                <w:szCs w:val="24"/>
              </w:rPr>
              <w:t>序号</w:t>
            </w:r>
          </w:p>
        </w:tc>
        <w:tc>
          <w:tcPr>
            <w:tcW w:w="5760" w:type="dxa"/>
            <w:shd w:val="clear" w:color="auto" w:fill="E6E6E6"/>
            <w:vAlign w:val="center"/>
          </w:tcPr>
          <w:p>
            <w:pPr>
              <w:spacing w:line="360" w:lineRule="exact"/>
              <w:jc w:val="both"/>
              <w:rPr>
                <w:rFonts w:ascii="Times New Roman" w:hAnsi="Times New Roman" w:eastAsia="宋体" w:cs="Times New Roman"/>
                <w:b/>
                <w:sz w:val="24"/>
                <w:szCs w:val="24"/>
              </w:rPr>
            </w:pPr>
            <w:r>
              <w:rPr>
                <w:rFonts w:ascii="Times New Roman" w:hAnsi="Times New Roman" w:eastAsia="宋体" w:cs="Times New Roman"/>
                <w:b/>
                <w:sz w:val="24"/>
                <w:szCs w:val="24"/>
              </w:rPr>
              <w:t>违规、违约行为情形</w:t>
            </w:r>
          </w:p>
        </w:tc>
        <w:tc>
          <w:tcPr>
            <w:tcW w:w="2561" w:type="dxa"/>
            <w:shd w:val="clear" w:color="auto" w:fill="E6E6E6"/>
            <w:vAlign w:val="center"/>
          </w:tcPr>
          <w:p>
            <w:pPr>
              <w:spacing w:line="360" w:lineRule="exact"/>
              <w:jc w:val="both"/>
              <w:rPr>
                <w:rFonts w:ascii="宋体" w:hAnsi="宋体" w:eastAsia="宋体" w:cs="Times New Roman"/>
                <w:b/>
                <w:sz w:val="24"/>
                <w:szCs w:val="24"/>
              </w:rPr>
            </w:pPr>
            <w:r>
              <w:rPr>
                <w:rFonts w:hint="eastAsia" w:ascii="宋体" w:hAnsi="宋体" w:eastAsia="宋体" w:cs="Times New Roman"/>
                <w:b/>
                <w:sz w:val="24"/>
                <w:szCs w:val="24"/>
              </w:rPr>
              <w:t>采购人施以</w:t>
            </w:r>
            <w:r>
              <w:rPr>
                <w:rFonts w:ascii="宋体" w:hAnsi="宋体" w:eastAsia="宋体" w:cs="Times New Roman"/>
                <w:b/>
                <w:sz w:val="24"/>
                <w:szCs w:val="24"/>
              </w:rPr>
              <w:t>处罚形式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1" w:hRule="atLeast"/>
          <w:jc w:val="center"/>
        </w:trPr>
        <w:tc>
          <w:tcPr>
            <w:tcW w:w="776" w:type="dxa"/>
            <w:vAlign w:val="center"/>
          </w:tcPr>
          <w:p>
            <w:pPr>
              <w:numPr>
                <w:ilvl w:val="0"/>
                <w:numId w:val="2"/>
              </w:numPr>
              <w:spacing w:line="360" w:lineRule="exact"/>
              <w:jc w:val="both"/>
              <w:rPr>
                <w:rFonts w:ascii="Times New Roman" w:hAnsi="Times New Roman" w:eastAsia="宋体" w:cs="Times New Roman"/>
                <w:sz w:val="24"/>
                <w:szCs w:val="24"/>
              </w:rPr>
            </w:pPr>
          </w:p>
        </w:tc>
        <w:tc>
          <w:tcPr>
            <w:tcW w:w="5760" w:type="dxa"/>
            <w:vAlign w:val="center"/>
          </w:tcPr>
          <w:p>
            <w:pPr>
              <w:spacing w:line="360" w:lineRule="exact"/>
              <w:jc w:val="both"/>
              <w:rPr>
                <w:rFonts w:ascii="Times New Roman" w:hAnsi="Times New Roman" w:eastAsia="宋体" w:cs="Times New Roman"/>
                <w:kern w:val="2"/>
                <w:sz w:val="24"/>
                <w:szCs w:val="24"/>
                <w:lang w:val="en-US" w:eastAsia="zh-CN" w:bidi="ar-SA"/>
              </w:rPr>
            </w:pPr>
            <w:r>
              <w:rPr>
                <w:rFonts w:ascii="Times New Roman" w:hAnsi="Times New Roman" w:eastAsia="宋体" w:cs="Times New Roman"/>
                <w:sz w:val="24"/>
                <w:szCs w:val="24"/>
              </w:rPr>
              <w:t>提供虚假信息，误导或欺骗</w:t>
            </w:r>
            <w:r>
              <w:rPr>
                <w:rFonts w:hint="eastAsia" w:ascii="Times New Roman" w:hAnsi="Times New Roman" w:eastAsia="宋体" w:cs="Times New Roman"/>
                <w:sz w:val="24"/>
                <w:szCs w:val="24"/>
              </w:rPr>
              <w:t>采购人</w:t>
            </w:r>
            <w:r>
              <w:rPr>
                <w:rFonts w:ascii="Times New Roman" w:hAnsi="Times New Roman" w:eastAsia="宋体" w:cs="Times New Roman"/>
                <w:sz w:val="24"/>
                <w:szCs w:val="24"/>
              </w:rPr>
              <w:t>，以不正当手段损害</w:t>
            </w:r>
            <w:r>
              <w:rPr>
                <w:rFonts w:hint="eastAsia" w:ascii="Times New Roman" w:hAnsi="Times New Roman" w:eastAsia="宋体" w:cs="Times New Roman"/>
                <w:sz w:val="24"/>
                <w:szCs w:val="24"/>
              </w:rPr>
              <w:t>采购人</w:t>
            </w:r>
            <w:r>
              <w:rPr>
                <w:rFonts w:ascii="Times New Roman" w:hAnsi="Times New Roman" w:eastAsia="宋体" w:cs="Times New Roman"/>
                <w:sz w:val="24"/>
                <w:szCs w:val="24"/>
              </w:rPr>
              <w:t>合法利益。</w:t>
            </w:r>
          </w:p>
        </w:tc>
        <w:tc>
          <w:tcPr>
            <w:tcW w:w="2561" w:type="dxa"/>
            <w:vAlign w:val="center"/>
          </w:tcPr>
          <w:p>
            <w:pPr>
              <w:spacing w:line="360" w:lineRule="exact"/>
              <w:jc w:val="both"/>
              <w:rPr>
                <w:rFonts w:hint="eastAsia" w:ascii="宋体" w:hAnsi="宋体" w:eastAsia="宋体" w:cs="Times New Roman"/>
                <w:sz w:val="24"/>
                <w:szCs w:val="24"/>
                <w:lang w:val="en-US" w:eastAsia="zh-CN"/>
              </w:rPr>
            </w:pPr>
            <w:r>
              <w:rPr>
                <w:rFonts w:hint="eastAsia" w:ascii="宋体" w:hAnsi="宋体" w:eastAsia="宋体" w:cs="Times New Roman"/>
                <w:sz w:val="24"/>
                <w:szCs w:val="24"/>
                <w:lang w:val="en-US" w:eastAsia="zh-CN"/>
              </w:rPr>
              <w:t>如有以上行为，甲方有权</w:t>
            </w:r>
            <w:r>
              <w:rPr>
                <w:rFonts w:hint="eastAsia" w:ascii="宋体" w:hAnsi="宋体" w:eastAsia="宋体" w:cs="Times New Roman"/>
                <w:sz w:val="24"/>
                <w:szCs w:val="24"/>
              </w:rPr>
              <w:t>解除合同</w:t>
            </w:r>
            <w:r>
              <w:rPr>
                <w:rFonts w:hint="eastAsia" w:ascii="宋体" w:hAnsi="宋体" w:eastAsia="宋体"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776" w:type="dxa"/>
            <w:vAlign w:val="center"/>
          </w:tcPr>
          <w:p>
            <w:pPr>
              <w:numPr>
                <w:ilvl w:val="0"/>
                <w:numId w:val="2"/>
              </w:numPr>
              <w:spacing w:line="360" w:lineRule="exact"/>
              <w:jc w:val="both"/>
              <w:rPr>
                <w:rFonts w:ascii="Times New Roman" w:hAnsi="Times New Roman" w:eastAsia="宋体" w:cs="Times New Roman"/>
                <w:sz w:val="24"/>
                <w:szCs w:val="24"/>
              </w:rPr>
            </w:pPr>
          </w:p>
        </w:tc>
        <w:tc>
          <w:tcPr>
            <w:tcW w:w="5760" w:type="dxa"/>
            <w:vAlign w:val="center"/>
          </w:tcPr>
          <w:p>
            <w:pPr>
              <w:tabs>
                <w:tab w:val="left" w:pos="0"/>
                <w:tab w:val="left" w:pos="407"/>
              </w:tabs>
              <w:spacing w:line="360" w:lineRule="exact"/>
              <w:jc w:val="both"/>
              <w:rPr>
                <w:rFonts w:ascii="Times New Roman" w:hAnsi="Times New Roman" w:eastAsia="宋体" w:cs="Times New Roman"/>
                <w:sz w:val="24"/>
                <w:szCs w:val="24"/>
              </w:rPr>
            </w:pPr>
            <w:r>
              <w:rPr>
                <w:rFonts w:ascii="Times New Roman" w:hAnsi="Times New Roman" w:eastAsia="宋体" w:cs="Times New Roman"/>
                <w:sz w:val="24"/>
                <w:szCs w:val="24"/>
              </w:rPr>
              <w:t>违反了诚实信用和投标承诺，没有严格执行相关质量、服务要求和折扣优惠，以不法手段获取</w:t>
            </w:r>
            <w:r>
              <w:rPr>
                <w:rFonts w:hint="eastAsia" w:ascii="Times New Roman" w:hAnsi="Times New Roman" w:eastAsia="宋体" w:cs="Times New Roman"/>
                <w:sz w:val="24"/>
                <w:szCs w:val="24"/>
              </w:rPr>
              <w:t>商业</w:t>
            </w:r>
            <w:r>
              <w:rPr>
                <w:rFonts w:ascii="Times New Roman" w:hAnsi="Times New Roman" w:eastAsia="宋体" w:cs="Times New Roman"/>
                <w:sz w:val="24"/>
                <w:szCs w:val="24"/>
              </w:rPr>
              <w:t>利益。</w:t>
            </w:r>
          </w:p>
        </w:tc>
        <w:tc>
          <w:tcPr>
            <w:tcW w:w="2561" w:type="dxa"/>
            <w:vMerge w:val="restart"/>
            <w:vAlign w:val="center"/>
          </w:tcPr>
          <w:p>
            <w:pPr>
              <w:tabs>
                <w:tab w:val="left" w:pos="0"/>
                <w:tab w:val="left" w:pos="407"/>
              </w:tabs>
              <w:spacing w:line="360" w:lineRule="exact"/>
              <w:jc w:val="both"/>
              <w:rPr>
                <w:rFonts w:hint="eastAsia" w:ascii="Times New Roman" w:hAnsi="Times New Roman" w:eastAsia="宋体" w:cs="Times New Roman"/>
                <w:sz w:val="24"/>
                <w:szCs w:val="24"/>
              </w:rPr>
            </w:pPr>
            <w:r>
              <w:rPr>
                <w:rFonts w:hint="eastAsia" w:ascii="Times New Roman" w:hAnsi="Times New Roman" w:eastAsia="宋体" w:cs="Times New Roman"/>
                <w:sz w:val="24"/>
                <w:szCs w:val="24"/>
              </w:rPr>
              <w:t>1</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rPr>
              <w:t>违约</w:t>
            </w:r>
            <w:r>
              <w:rPr>
                <w:rFonts w:ascii="Times New Roman" w:hAnsi="Times New Roman" w:eastAsia="宋体" w:cs="Times New Roman"/>
                <w:sz w:val="24"/>
                <w:szCs w:val="24"/>
              </w:rPr>
              <w:t>罚</w:t>
            </w:r>
            <w:r>
              <w:rPr>
                <w:rFonts w:hint="eastAsia" w:ascii="Times New Roman" w:hAnsi="Times New Roman" w:eastAsia="宋体" w:cs="Times New Roman"/>
                <w:sz w:val="24"/>
                <w:szCs w:val="24"/>
              </w:rPr>
              <w:t>金以1000元起点，采购人直接损失超过此额时，</w:t>
            </w:r>
            <w:r>
              <w:rPr>
                <w:rFonts w:hint="eastAsia" w:ascii="Times New Roman" w:hAnsi="Times New Roman" w:eastAsia="宋体" w:cs="Times New Roman"/>
                <w:sz w:val="24"/>
                <w:szCs w:val="24"/>
                <w:lang w:eastAsia="zh-CN"/>
              </w:rPr>
              <w:t>供应</w:t>
            </w:r>
            <w:r>
              <w:rPr>
                <w:rFonts w:hint="eastAsia" w:ascii="Times New Roman" w:hAnsi="Times New Roman" w:eastAsia="宋体" w:cs="Times New Roman"/>
                <w:sz w:val="24"/>
                <w:szCs w:val="24"/>
              </w:rPr>
              <w:t>商则按实际损失赔偿。</w:t>
            </w:r>
          </w:p>
          <w:p>
            <w:pPr>
              <w:tabs>
                <w:tab w:val="left" w:pos="0"/>
                <w:tab w:val="left" w:pos="407"/>
              </w:tabs>
              <w:spacing w:line="360" w:lineRule="exact"/>
              <w:jc w:val="both"/>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rPr>
              <w:t>2</w:t>
            </w:r>
            <w:r>
              <w:rPr>
                <w:rFonts w:hint="eastAsia"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rPr>
              <w:t>警告</w:t>
            </w:r>
            <w:r>
              <w:rPr>
                <w:rFonts w:hint="eastAsia" w:ascii="Times New Roman" w:hAnsi="Times New Roman" w:eastAsia="宋体" w:cs="Times New Roman"/>
                <w:sz w:val="24"/>
                <w:szCs w:val="24"/>
                <w:lang w:eastAsia="zh-CN"/>
              </w:rPr>
              <w:t>二次无效</w:t>
            </w:r>
            <w:r>
              <w:rPr>
                <w:rFonts w:hint="eastAsia" w:ascii="Times New Roman" w:hAnsi="Times New Roman" w:eastAsia="宋体" w:cs="Times New Roman"/>
                <w:sz w:val="24"/>
                <w:szCs w:val="24"/>
              </w:rPr>
              <w:t>，</w:t>
            </w:r>
            <w:r>
              <w:rPr>
                <w:rFonts w:hint="eastAsia" w:ascii="Times New Roman" w:hAnsi="Times New Roman" w:eastAsia="宋体" w:cs="Times New Roman"/>
                <w:sz w:val="24"/>
                <w:szCs w:val="24"/>
                <w:lang w:eastAsia="zh-CN"/>
              </w:rPr>
              <w:t>甲方将</w:t>
            </w:r>
            <w:r>
              <w:rPr>
                <w:rFonts w:hint="eastAsia" w:ascii="Times New Roman" w:hAnsi="Times New Roman" w:eastAsia="宋体" w:cs="Times New Roman"/>
                <w:sz w:val="24"/>
                <w:szCs w:val="24"/>
              </w:rPr>
              <w:t>通报有关部门，并解除合同</w:t>
            </w:r>
            <w:r>
              <w:rPr>
                <w:rFonts w:hint="eastAsia" w:ascii="Times New Roman" w:hAnsi="Times New Roman" w:eastAsia="宋体"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776" w:type="dxa"/>
            <w:vAlign w:val="center"/>
          </w:tcPr>
          <w:p>
            <w:pPr>
              <w:numPr>
                <w:ilvl w:val="0"/>
                <w:numId w:val="2"/>
              </w:numPr>
              <w:spacing w:line="360" w:lineRule="exact"/>
              <w:jc w:val="both"/>
              <w:rPr>
                <w:rFonts w:ascii="Times New Roman" w:hAnsi="Times New Roman" w:eastAsia="宋体" w:cs="Times New Roman"/>
                <w:sz w:val="24"/>
                <w:szCs w:val="24"/>
              </w:rPr>
            </w:pPr>
          </w:p>
        </w:tc>
        <w:tc>
          <w:tcPr>
            <w:tcW w:w="5760" w:type="dxa"/>
            <w:vAlign w:val="center"/>
          </w:tcPr>
          <w:p>
            <w:pPr>
              <w:tabs>
                <w:tab w:val="left" w:pos="0"/>
                <w:tab w:val="left" w:pos="407"/>
              </w:tabs>
              <w:spacing w:line="360" w:lineRule="exact"/>
              <w:jc w:val="both"/>
              <w:rPr>
                <w:rFonts w:ascii="Times New Roman" w:hAnsi="Times New Roman" w:eastAsia="宋体" w:cs="Times New Roman"/>
                <w:sz w:val="24"/>
                <w:szCs w:val="24"/>
              </w:rPr>
            </w:pPr>
            <w:r>
              <w:rPr>
                <w:rFonts w:ascii="Times New Roman" w:hAnsi="Times New Roman" w:eastAsia="宋体" w:cs="Times New Roman"/>
                <w:sz w:val="24"/>
                <w:szCs w:val="24"/>
              </w:rPr>
              <w:t>接到</w:t>
            </w:r>
            <w:r>
              <w:rPr>
                <w:rFonts w:hint="eastAsia" w:ascii="Times New Roman" w:hAnsi="Times New Roman" w:eastAsia="宋体" w:cs="Times New Roman"/>
                <w:sz w:val="24"/>
                <w:szCs w:val="24"/>
              </w:rPr>
              <w:t>采购人</w:t>
            </w:r>
            <w:r>
              <w:rPr>
                <w:rFonts w:ascii="Times New Roman" w:hAnsi="Times New Roman" w:eastAsia="宋体" w:cs="Times New Roman"/>
                <w:sz w:val="24"/>
                <w:szCs w:val="24"/>
              </w:rPr>
              <w:t>的出险报案</w:t>
            </w:r>
            <w:r>
              <w:rPr>
                <w:rFonts w:hint="eastAsia" w:ascii="Times New Roman" w:hAnsi="Times New Roman" w:eastAsia="宋体" w:cs="Times New Roman"/>
                <w:sz w:val="24"/>
                <w:szCs w:val="24"/>
              </w:rPr>
              <w:t>通知</w:t>
            </w:r>
            <w:r>
              <w:rPr>
                <w:rFonts w:ascii="Times New Roman" w:hAnsi="Times New Roman" w:eastAsia="宋体" w:cs="Times New Roman"/>
                <w:sz w:val="24"/>
                <w:szCs w:val="24"/>
              </w:rPr>
              <w:t>后</w:t>
            </w:r>
            <w:r>
              <w:rPr>
                <w:rFonts w:hint="eastAsia" w:ascii="Times New Roman" w:hAnsi="Times New Roman" w:eastAsia="宋体" w:cs="Times New Roman"/>
                <w:sz w:val="24"/>
                <w:szCs w:val="24"/>
              </w:rPr>
              <w:t>，未能按约定的时间内到达事故现场，且没有充分理由的。</w:t>
            </w:r>
          </w:p>
        </w:tc>
        <w:tc>
          <w:tcPr>
            <w:tcW w:w="2561" w:type="dxa"/>
            <w:vMerge w:val="continue"/>
            <w:vAlign w:val="center"/>
          </w:tcPr>
          <w:p>
            <w:pPr>
              <w:tabs>
                <w:tab w:val="left" w:pos="0"/>
                <w:tab w:val="left" w:pos="407"/>
              </w:tabs>
              <w:spacing w:line="360" w:lineRule="exact"/>
              <w:jc w:val="both"/>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776" w:type="dxa"/>
            <w:vAlign w:val="center"/>
          </w:tcPr>
          <w:p>
            <w:pPr>
              <w:numPr>
                <w:ilvl w:val="0"/>
                <w:numId w:val="2"/>
              </w:numPr>
              <w:spacing w:line="360" w:lineRule="exact"/>
              <w:jc w:val="both"/>
              <w:rPr>
                <w:rFonts w:ascii="Times New Roman" w:hAnsi="Times New Roman" w:eastAsia="宋体" w:cs="Times New Roman"/>
                <w:sz w:val="24"/>
                <w:szCs w:val="24"/>
              </w:rPr>
            </w:pPr>
          </w:p>
        </w:tc>
        <w:tc>
          <w:tcPr>
            <w:tcW w:w="5760" w:type="dxa"/>
            <w:vAlign w:val="center"/>
          </w:tcPr>
          <w:p>
            <w:pPr>
              <w:tabs>
                <w:tab w:val="left" w:pos="0"/>
                <w:tab w:val="left" w:pos="407"/>
              </w:tabs>
              <w:spacing w:line="360" w:lineRule="exact"/>
              <w:jc w:val="both"/>
              <w:rPr>
                <w:rFonts w:ascii="Times New Roman" w:hAnsi="Times New Roman" w:eastAsia="宋体" w:cs="Times New Roman"/>
                <w:sz w:val="24"/>
                <w:szCs w:val="24"/>
              </w:rPr>
            </w:pPr>
            <w:r>
              <w:rPr>
                <w:rFonts w:ascii="Times New Roman" w:hAnsi="Times New Roman" w:eastAsia="宋体" w:cs="Times New Roman"/>
                <w:sz w:val="24"/>
                <w:szCs w:val="24"/>
              </w:rPr>
              <w:t>接到</w:t>
            </w:r>
            <w:r>
              <w:rPr>
                <w:rFonts w:hint="eastAsia" w:ascii="Times New Roman" w:hAnsi="Times New Roman" w:eastAsia="宋体" w:cs="Times New Roman"/>
                <w:sz w:val="24"/>
                <w:szCs w:val="24"/>
              </w:rPr>
              <w:t>采购人</w:t>
            </w:r>
            <w:r>
              <w:rPr>
                <w:rFonts w:ascii="Times New Roman" w:hAnsi="Times New Roman" w:eastAsia="宋体" w:cs="Times New Roman"/>
                <w:sz w:val="24"/>
                <w:szCs w:val="24"/>
              </w:rPr>
              <w:t>已付款通知后，未能及时签订机动车辆保险单，给</w:t>
            </w:r>
            <w:r>
              <w:rPr>
                <w:rFonts w:hint="eastAsia" w:ascii="Times New Roman" w:hAnsi="Times New Roman" w:eastAsia="宋体" w:cs="Times New Roman"/>
                <w:sz w:val="24"/>
                <w:szCs w:val="24"/>
              </w:rPr>
              <w:t>采购人</w:t>
            </w:r>
            <w:r>
              <w:rPr>
                <w:rFonts w:ascii="Times New Roman" w:hAnsi="Times New Roman" w:eastAsia="宋体" w:cs="Times New Roman"/>
                <w:sz w:val="24"/>
                <w:szCs w:val="24"/>
              </w:rPr>
              <w:t>造成重大损失的。</w:t>
            </w:r>
          </w:p>
        </w:tc>
        <w:tc>
          <w:tcPr>
            <w:tcW w:w="2561" w:type="dxa"/>
            <w:vMerge w:val="continue"/>
            <w:vAlign w:val="center"/>
          </w:tcPr>
          <w:p>
            <w:pPr>
              <w:tabs>
                <w:tab w:val="left" w:pos="0"/>
                <w:tab w:val="left" w:pos="407"/>
              </w:tabs>
              <w:spacing w:line="360" w:lineRule="exact"/>
              <w:jc w:val="both"/>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6" w:type="dxa"/>
            <w:vAlign w:val="center"/>
          </w:tcPr>
          <w:p>
            <w:pPr>
              <w:numPr>
                <w:ilvl w:val="0"/>
                <w:numId w:val="2"/>
              </w:numPr>
              <w:spacing w:line="360" w:lineRule="exact"/>
              <w:jc w:val="both"/>
              <w:rPr>
                <w:rFonts w:ascii="Times New Roman" w:hAnsi="Times New Roman" w:eastAsia="宋体" w:cs="Times New Roman"/>
                <w:sz w:val="24"/>
                <w:szCs w:val="24"/>
              </w:rPr>
            </w:pPr>
          </w:p>
        </w:tc>
        <w:tc>
          <w:tcPr>
            <w:tcW w:w="5760" w:type="dxa"/>
            <w:vAlign w:val="center"/>
          </w:tcPr>
          <w:p>
            <w:pPr>
              <w:tabs>
                <w:tab w:val="left" w:pos="0"/>
                <w:tab w:val="left" w:pos="407"/>
              </w:tabs>
              <w:spacing w:line="360" w:lineRule="exact"/>
              <w:jc w:val="both"/>
              <w:rPr>
                <w:rFonts w:ascii="Times New Roman" w:hAnsi="Times New Roman" w:eastAsia="宋体" w:cs="Times New Roman"/>
                <w:sz w:val="24"/>
                <w:szCs w:val="24"/>
              </w:rPr>
            </w:pPr>
            <w:r>
              <w:rPr>
                <w:rFonts w:ascii="Times New Roman" w:hAnsi="Times New Roman" w:eastAsia="宋体" w:cs="Times New Roman"/>
                <w:sz w:val="24"/>
                <w:szCs w:val="24"/>
              </w:rPr>
              <w:t>手续齐全的赔偿案在已承诺的理赔时限内未能赔付完毕。</w:t>
            </w:r>
          </w:p>
        </w:tc>
        <w:tc>
          <w:tcPr>
            <w:tcW w:w="2561" w:type="dxa"/>
            <w:vMerge w:val="continue"/>
            <w:vAlign w:val="center"/>
          </w:tcPr>
          <w:p>
            <w:pPr>
              <w:tabs>
                <w:tab w:val="left" w:pos="0"/>
                <w:tab w:val="left" w:pos="407"/>
              </w:tabs>
              <w:spacing w:line="360" w:lineRule="exact"/>
              <w:jc w:val="both"/>
              <w:rPr>
                <w:rFonts w:ascii="Times New Roman" w:hAnsi="Times New Roman"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6" w:type="dxa"/>
            <w:vAlign w:val="center"/>
          </w:tcPr>
          <w:p>
            <w:pPr>
              <w:numPr>
                <w:ilvl w:val="0"/>
                <w:numId w:val="2"/>
              </w:numPr>
              <w:spacing w:line="360" w:lineRule="exact"/>
              <w:jc w:val="both"/>
              <w:rPr>
                <w:rFonts w:ascii="Times New Roman" w:hAnsi="Times New Roman" w:eastAsia="宋体" w:cs="Times New Roman"/>
                <w:sz w:val="24"/>
                <w:szCs w:val="24"/>
              </w:rPr>
            </w:pPr>
          </w:p>
        </w:tc>
        <w:tc>
          <w:tcPr>
            <w:tcW w:w="5760" w:type="dxa"/>
            <w:vAlign w:val="center"/>
          </w:tcPr>
          <w:p>
            <w:pPr>
              <w:spacing w:line="360" w:lineRule="exact"/>
              <w:jc w:val="both"/>
              <w:rPr>
                <w:rFonts w:hint="eastAsia" w:ascii="Times New Roman" w:hAnsi="Times New Roman" w:eastAsia="宋体" w:cs="Times New Roman"/>
                <w:sz w:val="24"/>
                <w:szCs w:val="24"/>
              </w:rPr>
            </w:pPr>
            <w:r>
              <w:rPr>
                <w:rFonts w:hint="eastAsia" w:ascii="Times New Roman" w:hAnsi="宋体" w:eastAsia="宋体" w:cs="Times New Roman"/>
                <w:sz w:val="24"/>
                <w:szCs w:val="24"/>
              </w:rPr>
              <w:t>没有征得采购人同意，擅自</w:t>
            </w:r>
            <w:r>
              <w:rPr>
                <w:rFonts w:ascii="Times New Roman" w:hAnsi="宋体" w:eastAsia="宋体" w:cs="Times New Roman"/>
                <w:sz w:val="24"/>
                <w:szCs w:val="24"/>
              </w:rPr>
              <w:t>指定</w:t>
            </w:r>
            <w:r>
              <w:rPr>
                <w:rFonts w:hint="eastAsia" w:ascii="Times New Roman" w:hAnsi="宋体" w:eastAsia="宋体" w:cs="Times New Roman"/>
                <w:sz w:val="24"/>
                <w:szCs w:val="24"/>
              </w:rPr>
              <w:t>其他</w:t>
            </w:r>
            <w:r>
              <w:rPr>
                <w:rFonts w:ascii="Times New Roman" w:hAnsi="宋体" w:eastAsia="宋体" w:cs="Times New Roman"/>
                <w:sz w:val="24"/>
                <w:szCs w:val="24"/>
              </w:rPr>
              <w:t>维修企业</w:t>
            </w:r>
            <w:r>
              <w:rPr>
                <w:rFonts w:hint="eastAsia" w:ascii="Times New Roman" w:hAnsi="宋体" w:eastAsia="宋体" w:cs="Times New Roman"/>
                <w:sz w:val="24"/>
                <w:szCs w:val="24"/>
              </w:rPr>
              <w:t>。</w:t>
            </w:r>
          </w:p>
        </w:tc>
        <w:tc>
          <w:tcPr>
            <w:tcW w:w="2561" w:type="dxa"/>
            <w:vMerge w:val="continue"/>
            <w:vAlign w:val="center"/>
          </w:tcPr>
          <w:p>
            <w:pPr>
              <w:jc w:val="both"/>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6" w:type="dxa"/>
            <w:vAlign w:val="center"/>
          </w:tcPr>
          <w:p>
            <w:pPr>
              <w:numPr>
                <w:ilvl w:val="0"/>
                <w:numId w:val="2"/>
              </w:numPr>
              <w:spacing w:line="360" w:lineRule="exact"/>
              <w:jc w:val="both"/>
              <w:rPr>
                <w:rFonts w:ascii="Times New Roman" w:hAnsi="Times New Roman" w:eastAsia="宋体" w:cs="Times New Roman"/>
                <w:sz w:val="24"/>
                <w:szCs w:val="24"/>
              </w:rPr>
            </w:pPr>
          </w:p>
        </w:tc>
        <w:tc>
          <w:tcPr>
            <w:tcW w:w="5760" w:type="dxa"/>
            <w:vAlign w:val="center"/>
          </w:tcPr>
          <w:p>
            <w:pPr>
              <w:spacing w:line="360" w:lineRule="exact"/>
              <w:jc w:val="both"/>
              <w:rPr>
                <w:rFonts w:ascii="Times New Roman" w:hAnsi="Times New Roman" w:eastAsia="宋体" w:cs="Times New Roman"/>
                <w:sz w:val="24"/>
                <w:szCs w:val="24"/>
              </w:rPr>
            </w:pPr>
            <w:r>
              <w:rPr>
                <w:rFonts w:hint="eastAsia" w:ascii="Times New Roman" w:hAnsi="宋体" w:eastAsia="宋体" w:cs="Times New Roman"/>
                <w:sz w:val="24"/>
                <w:szCs w:val="24"/>
              </w:rPr>
              <w:t>没有执行采购人的授权</w:t>
            </w:r>
            <w:r>
              <w:rPr>
                <w:rFonts w:ascii="Times New Roman" w:hAnsi="宋体" w:eastAsia="宋体" w:cs="Times New Roman"/>
                <w:sz w:val="24"/>
                <w:szCs w:val="24"/>
              </w:rPr>
              <w:t>委托</w:t>
            </w:r>
            <w:r>
              <w:rPr>
                <w:rFonts w:hint="eastAsia" w:ascii="Times New Roman" w:hAnsi="宋体" w:eastAsia="宋体" w:cs="Times New Roman"/>
                <w:sz w:val="24"/>
                <w:szCs w:val="24"/>
              </w:rPr>
              <w:t>意愿和合理要求</w:t>
            </w:r>
            <w:r>
              <w:rPr>
                <w:rFonts w:ascii="Times New Roman" w:hAnsi="宋体" w:eastAsia="宋体" w:cs="Times New Roman"/>
                <w:sz w:val="24"/>
                <w:szCs w:val="24"/>
              </w:rPr>
              <w:t>，</w:t>
            </w:r>
            <w:r>
              <w:rPr>
                <w:rFonts w:hint="eastAsia" w:ascii="Times New Roman" w:hAnsi="宋体" w:eastAsia="宋体" w:cs="Times New Roman"/>
                <w:sz w:val="24"/>
                <w:szCs w:val="24"/>
              </w:rPr>
              <w:t>在有关</w:t>
            </w:r>
            <w:r>
              <w:rPr>
                <w:rFonts w:ascii="Times New Roman" w:hAnsi="宋体" w:eastAsia="宋体" w:cs="Times New Roman"/>
                <w:sz w:val="24"/>
                <w:szCs w:val="24"/>
              </w:rPr>
              <w:t>索赔</w:t>
            </w:r>
            <w:r>
              <w:rPr>
                <w:rFonts w:hint="eastAsia" w:ascii="Times New Roman" w:hAnsi="宋体" w:eastAsia="宋体" w:cs="Times New Roman"/>
                <w:sz w:val="24"/>
                <w:szCs w:val="24"/>
              </w:rPr>
              <w:t>手续、车辆维修及费用结算等问题上多次发生纠纷或受到检举投诉。</w:t>
            </w:r>
          </w:p>
        </w:tc>
        <w:tc>
          <w:tcPr>
            <w:tcW w:w="2561" w:type="dxa"/>
            <w:vMerge w:val="continue"/>
            <w:vAlign w:val="center"/>
          </w:tcPr>
          <w:p>
            <w:pPr>
              <w:jc w:val="both"/>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6" w:type="dxa"/>
            <w:vAlign w:val="center"/>
          </w:tcPr>
          <w:p>
            <w:pPr>
              <w:numPr>
                <w:ilvl w:val="0"/>
                <w:numId w:val="2"/>
              </w:numPr>
              <w:spacing w:line="360" w:lineRule="exact"/>
              <w:jc w:val="both"/>
              <w:rPr>
                <w:rFonts w:ascii="Times New Roman" w:hAnsi="Times New Roman" w:eastAsia="宋体" w:cs="Times New Roman"/>
                <w:sz w:val="24"/>
                <w:szCs w:val="24"/>
              </w:rPr>
            </w:pPr>
          </w:p>
        </w:tc>
        <w:tc>
          <w:tcPr>
            <w:tcW w:w="5760" w:type="dxa"/>
            <w:vAlign w:val="center"/>
          </w:tcPr>
          <w:p>
            <w:pPr>
              <w:spacing w:line="360" w:lineRule="exact"/>
              <w:jc w:val="both"/>
              <w:rPr>
                <w:rFonts w:ascii="Times New Roman" w:hAnsi="Times New Roman" w:eastAsia="宋体" w:cs="Times New Roman"/>
                <w:sz w:val="24"/>
                <w:szCs w:val="24"/>
              </w:rPr>
            </w:pPr>
            <w:r>
              <w:rPr>
                <w:rFonts w:ascii="Times New Roman" w:hAnsi="Times New Roman" w:eastAsia="宋体" w:cs="Times New Roman"/>
                <w:sz w:val="24"/>
                <w:szCs w:val="24"/>
              </w:rPr>
              <w:t>向</w:t>
            </w:r>
            <w:r>
              <w:rPr>
                <w:rFonts w:hint="eastAsia" w:ascii="Times New Roman" w:hAnsi="Times New Roman" w:eastAsia="宋体" w:cs="Times New Roman"/>
                <w:sz w:val="24"/>
                <w:szCs w:val="24"/>
              </w:rPr>
              <w:t>采购人</w:t>
            </w:r>
            <w:r>
              <w:rPr>
                <w:rFonts w:ascii="Times New Roman" w:hAnsi="Times New Roman" w:eastAsia="宋体" w:cs="Times New Roman"/>
                <w:sz w:val="24"/>
                <w:szCs w:val="24"/>
              </w:rPr>
              <w:t>或其</w:t>
            </w:r>
            <w:r>
              <w:rPr>
                <w:rFonts w:hint="eastAsia" w:ascii="Times New Roman" w:hAnsi="Times New Roman" w:eastAsia="宋体" w:cs="Times New Roman"/>
                <w:sz w:val="24"/>
                <w:szCs w:val="24"/>
              </w:rPr>
              <w:t>他</w:t>
            </w:r>
            <w:r>
              <w:rPr>
                <w:rFonts w:ascii="Times New Roman" w:hAnsi="Times New Roman" w:eastAsia="宋体" w:cs="Times New Roman"/>
                <w:sz w:val="24"/>
                <w:szCs w:val="24"/>
              </w:rPr>
              <w:t>经办人提供了任何形式回扣</w:t>
            </w:r>
            <w:r>
              <w:rPr>
                <w:rFonts w:hint="eastAsia" w:ascii="Times New Roman" w:hAnsi="Times New Roman" w:eastAsia="宋体" w:cs="Times New Roman"/>
                <w:sz w:val="24"/>
                <w:szCs w:val="24"/>
              </w:rPr>
              <w:t>或不正当利益</w:t>
            </w:r>
            <w:r>
              <w:rPr>
                <w:rFonts w:ascii="Times New Roman" w:hAnsi="Times New Roman" w:eastAsia="宋体" w:cs="Times New Roman"/>
                <w:sz w:val="24"/>
                <w:szCs w:val="24"/>
              </w:rPr>
              <w:t>。</w:t>
            </w:r>
          </w:p>
        </w:tc>
        <w:tc>
          <w:tcPr>
            <w:tcW w:w="2561" w:type="dxa"/>
            <w:vMerge w:val="continue"/>
            <w:vAlign w:val="center"/>
          </w:tcPr>
          <w:p>
            <w:pPr>
              <w:jc w:val="both"/>
              <w:rPr>
                <w:rFonts w:ascii="Times New Roman" w:hAnsi="Times New Roman"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6" w:type="dxa"/>
            <w:vAlign w:val="center"/>
          </w:tcPr>
          <w:p>
            <w:pPr>
              <w:numPr>
                <w:ilvl w:val="0"/>
                <w:numId w:val="2"/>
              </w:numPr>
              <w:tabs>
                <w:tab w:val="left" w:pos="227"/>
              </w:tabs>
              <w:spacing w:line="360" w:lineRule="exact"/>
              <w:jc w:val="both"/>
              <w:rPr>
                <w:rFonts w:hint="eastAsia" w:ascii="Times New Roman" w:hAnsi="Times New Roman" w:eastAsia="宋体" w:cs="Times New Roman"/>
                <w:sz w:val="24"/>
                <w:szCs w:val="24"/>
              </w:rPr>
            </w:pPr>
          </w:p>
        </w:tc>
        <w:tc>
          <w:tcPr>
            <w:tcW w:w="5760" w:type="dxa"/>
            <w:vAlign w:val="center"/>
          </w:tcPr>
          <w:p>
            <w:pPr>
              <w:spacing w:line="360" w:lineRule="exact"/>
              <w:jc w:val="both"/>
              <w:rPr>
                <w:rFonts w:ascii="Times New Roman" w:hAnsi="Times New Roman" w:eastAsia="宋体" w:cs="Times New Roman"/>
                <w:spacing w:val="-4"/>
                <w:sz w:val="24"/>
                <w:szCs w:val="24"/>
              </w:rPr>
            </w:pPr>
            <w:r>
              <w:rPr>
                <w:rFonts w:hint="eastAsia" w:ascii="Times New Roman" w:hAnsi="Times New Roman" w:eastAsia="宋体" w:cs="Times New Roman"/>
                <w:sz w:val="24"/>
                <w:szCs w:val="24"/>
              </w:rPr>
              <w:t>受到采购人或维修企业的</w:t>
            </w:r>
            <w:r>
              <w:rPr>
                <w:rFonts w:ascii="Times New Roman" w:hAnsi="Times New Roman" w:eastAsia="宋体" w:cs="Times New Roman"/>
                <w:sz w:val="24"/>
                <w:szCs w:val="24"/>
              </w:rPr>
              <w:t>投诉，且经相关管理部门查证属实。</w:t>
            </w:r>
          </w:p>
        </w:tc>
        <w:tc>
          <w:tcPr>
            <w:tcW w:w="2561" w:type="dxa"/>
            <w:vMerge w:val="continue"/>
            <w:vAlign w:val="center"/>
          </w:tcPr>
          <w:p>
            <w:pPr>
              <w:jc w:val="both"/>
              <w:rPr>
                <w:rFonts w:ascii="Times New Roman" w:hAnsi="Times New Roman" w:eastAsia="宋体" w:cs="Times New Roman"/>
                <w:szCs w:val="21"/>
              </w:rPr>
            </w:pPr>
          </w:p>
        </w:tc>
      </w:tr>
    </w:tbl>
    <w:p>
      <w:pPr>
        <w:tabs>
          <w:tab w:val="left" w:pos="709"/>
        </w:tabs>
        <w:spacing w:line="360" w:lineRule="auto"/>
        <w:ind w:firstLine="480" w:firstLineChars="200"/>
        <w:jc w:val="both"/>
        <w:rPr>
          <w:rFonts w:ascii="宋体" w:hAnsi="宋体" w:eastAsia="宋体" w:cs="宋体"/>
          <w:kern w:val="1"/>
          <w:sz w:val="24"/>
          <w:szCs w:val="21"/>
        </w:rPr>
      </w:pPr>
    </w:p>
    <w:p>
      <w:pPr>
        <w:numPr>
          <w:ilvl w:val="0"/>
          <w:numId w:val="0"/>
        </w:numPr>
        <w:tabs>
          <w:tab w:val="left" w:pos="574"/>
        </w:tabs>
        <w:adjustRightInd w:val="0"/>
        <w:snapToGrid w:val="0"/>
        <w:spacing w:line="360" w:lineRule="auto"/>
        <w:ind w:leftChars="0" w:firstLine="480" w:firstLineChars="200"/>
        <w:jc w:val="both"/>
        <w:rPr>
          <w:rFonts w:hint="eastAsia" w:ascii="黑体" w:hAnsi="黑体" w:eastAsia="黑体" w:cs="黑体"/>
          <w:b w:val="0"/>
          <w:bCs w:val="0"/>
          <w:sz w:val="24"/>
          <w:szCs w:val="24"/>
          <w:lang w:val="en-US" w:eastAsia="zh-CN"/>
        </w:rPr>
      </w:pPr>
      <w:r>
        <w:rPr>
          <w:rFonts w:hint="eastAsia" w:ascii="黑体" w:hAnsi="黑体" w:eastAsia="黑体" w:cs="黑体"/>
          <w:b w:val="0"/>
          <w:bCs w:val="0"/>
          <w:sz w:val="24"/>
          <w:szCs w:val="24"/>
          <w:lang w:val="en-US" w:eastAsia="zh-CN"/>
        </w:rPr>
        <w:t>十四、经营行为监督管理</w:t>
      </w:r>
    </w:p>
    <w:p>
      <w:pPr>
        <w:numPr>
          <w:ilvl w:val="-1"/>
          <w:numId w:val="0"/>
        </w:numPr>
        <w:tabs>
          <w:tab w:val="left" w:pos="567"/>
        </w:tabs>
        <w:adjustRightInd w:val="0"/>
        <w:snapToGrid w:val="0"/>
        <w:spacing w:line="360" w:lineRule="auto"/>
        <w:ind w:left="0" w:firstLine="480" w:firstLineChars="200"/>
        <w:jc w:val="both"/>
        <w:rPr>
          <w:rFonts w:ascii="宋体" w:hAnsi="宋体" w:eastAsia="宋体" w:cs="Times New Roman"/>
          <w:sz w:val="24"/>
          <w:szCs w:val="24"/>
        </w:rPr>
      </w:pPr>
      <w:r>
        <w:rPr>
          <w:rFonts w:hint="eastAsia" w:ascii="宋体" w:hAnsi="宋体" w:eastAsia="宋体" w:cs="Times New Roman"/>
          <w:sz w:val="24"/>
          <w:szCs w:val="24"/>
        </w:rPr>
        <w:t>采购人与相关</w:t>
      </w:r>
      <w:r>
        <w:rPr>
          <w:rFonts w:ascii="宋体" w:hAnsi="宋体" w:eastAsia="宋体" w:cs="Times New Roman"/>
          <w:sz w:val="24"/>
          <w:szCs w:val="24"/>
        </w:rPr>
        <w:t>行业主管</w:t>
      </w:r>
      <w:r>
        <w:rPr>
          <w:rFonts w:hint="eastAsia" w:ascii="宋体" w:hAnsi="宋体" w:eastAsia="宋体" w:cs="Times New Roman"/>
          <w:sz w:val="24"/>
          <w:szCs w:val="24"/>
        </w:rPr>
        <w:t>部门</w:t>
      </w:r>
      <w:r>
        <w:rPr>
          <w:rFonts w:ascii="宋体" w:hAnsi="宋体" w:eastAsia="宋体" w:cs="Times New Roman"/>
          <w:sz w:val="24"/>
          <w:szCs w:val="24"/>
        </w:rPr>
        <w:t>如发现</w:t>
      </w:r>
      <w:r>
        <w:rPr>
          <w:rFonts w:hint="eastAsia" w:ascii="宋体" w:hAnsi="宋体" w:eastAsia="宋体" w:cs="Times New Roman"/>
          <w:sz w:val="24"/>
          <w:szCs w:val="24"/>
          <w:lang w:eastAsia="zh-CN"/>
        </w:rPr>
        <w:t>供应</w:t>
      </w:r>
      <w:r>
        <w:rPr>
          <w:rFonts w:hint="eastAsia" w:ascii="宋体" w:hAnsi="宋体" w:eastAsia="宋体" w:cs="Times New Roman"/>
          <w:sz w:val="24"/>
          <w:szCs w:val="24"/>
        </w:rPr>
        <w:t>商</w:t>
      </w:r>
      <w:r>
        <w:rPr>
          <w:rFonts w:ascii="宋体" w:hAnsi="宋体" w:eastAsia="宋体" w:cs="Times New Roman"/>
          <w:sz w:val="24"/>
          <w:szCs w:val="24"/>
        </w:rPr>
        <w:t>出现违规违约行为，一经查证属实，将根据相关违约处罚条款对其进行处罚</w:t>
      </w:r>
      <w:r>
        <w:rPr>
          <w:rFonts w:hint="eastAsia" w:ascii="宋体" w:hAnsi="宋体" w:eastAsia="宋体" w:cs="Times New Roman"/>
          <w:sz w:val="24"/>
          <w:szCs w:val="24"/>
        </w:rPr>
        <w:t>，并通报有关部门。</w:t>
      </w:r>
    </w:p>
    <w:p>
      <w:pPr>
        <w:spacing w:line="500" w:lineRule="exact"/>
        <w:ind w:firstLine="480" w:firstLineChars="200"/>
        <w:jc w:val="both"/>
        <w:rPr>
          <w:rFonts w:ascii="黑体" w:hAnsi="黑体" w:eastAsia="黑体" w:cs="黑体"/>
          <w:b/>
          <w:bCs/>
          <w:sz w:val="44"/>
          <w:szCs w:val="44"/>
        </w:rPr>
      </w:pPr>
      <w:r>
        <w:rPr>
          <w:rFonts w:hint="eastAsia" w:ascii="宋体" w:hAnsi="宋体" w:eastAsia="宋体" w:cs="Times New Roman"/>
          <w:sz w:val="24"/>
          <w:szCs w:val="24"/>
        </w:rPr>
        <w:t>若采购人与相关</w:t>
      </w:r>
      <w:r>
        <w:rPr>
          <w:rFonts w:ascii="宋体" w:hAnsi="宋体" w:eastAsia="宋体" w:cs="Times New Roman"/>
          <w:sz w:val="24"/>
          <w:szCs w:val="24"/>
        </w:rPr>
        <w:t>行业主管</w:t>
      </w:r>
      <w:r>
        <w:rPr>
          <w:rFonts w:hint="eastAsia" w:ascii="宋体" w:hAnsi="宋体" w:eastAsia="宋体" w:cs="Times New Roman"/>
          <w:sz w:val="24"/>
          <w:szCs w:val="24"/>
        </w:rPr>
        <w:t>部门对本项目合同采购管理制定新的规章制度时，</w:t>
      </w:r>
      <w:r>
        <w:rPr>
          <w:rFonts w:hint="eastAsia" w:ascii="宋体" w:hAnsi="宋体" w:eastAsia="宋体" w:cs="Times New Roman"/>
          <w:sz w:val="24"/>
          <w:szCs w:val="24"/>
          <w:lang w:eastAsia="zh-CN"/>
        </w:rPr>
        <w:t>供应</w:t>
      </w:r>
      <w:r>
        <w:rPr>
          <w:rFonts w:hint="eastAsia" w:ascii="宋体" w:hAnsi="宋体" w:eastAsia="宋体" w:cs="Times New Roman"/>
          <w:sz w:val="24"/>
          <w:szCs w:val="24"/>
        </w:rPr>
        <w:t>商必须严格依照执行。</w:t>
      </w:r>
    </w:p>
    <w:p>
      <w:pPr>
        <w:jc w:val="both"/>
        <w:rPr>
          <w:rFonts w:hint="eastAsia" w:ascii="方正楷体_GBK" w:hAnsi="方正楷体_GBK" w:eastAsia="方正楷体_GBK" w:cs="方正楷体_GBK"/>
          <w:sz w:val="32"/>
          <w:szCs w:val="32"/>
          <w:lang w:val="en-US" w:eastAsia="zh-CN"/>
        </w:rPr>
      </w:pPr>
    </w:p>
    <w:p>
      <w:pPr>
        <w:numPr>
          <w:ilvl w:val="0"/>
          <w:numId w:val="0"/>
        </w:numPr>
        <w:tabs>
          <w:tab w:val="left" w:pos="574"/>
        </w:tabs>
        <w:adjustRightInd w:val="0"/>
        <w:snapToGrid w:val="0"/>
        <w:spacing w:line="360" w:lineRule="auto"/>
        <w:ind w:firstLine="480" w:firstLineChars="200"/>
        <w:jc w:val="both"/>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十五、公务用车明细表</w:t>
      </w:r>
    </w:p>
    <w:tbl>
      <w:tblPr>
        <w:tblStyle w:val="4"/>
        <w:tblW w:w="51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8"/>
        <w:gridCol w:w="3038"/>
        <w:gridCol w:w="1519"/>
        <w:gridCol w:w="3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序号</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车牌号</w:t>
            </w:r>
          </w:p>
        </w:tc>
        <w:tc>
          <w:tcPr>
            <w:tcW w:w="857" w:type="pct"/>
            <w:noWrap/>
            <w:vAlign w:val="center"/>
          </w:tcPr>
          <w:p>
            <w:pPr>
              <w:keepNext w:val="0"/>
              <w:keepLines w:val="0"/>
              <w:widowControl/>
              <w:suppressLineNumbers w:val="0"/>
              <w:jc w:val="both"/>
              <w:textAlignment w:val="center"/>
              <w:rPr>
                <w:rFonts w:hint="default" w:ascii="等线" w:hAnsi="等线" w:eastAsia="等线" w:cs="等线"/>
                <w:i w:val="0"/>
                <w:color w:val="000000"/>
                <w:kern w:val="0"/>
                <w:sz w:val="21"/>
                <w:szCs w:val="21"/>
                <w:u w:val="none"/>
                <w:lang w:val="en-US" w:eastAsia="zh-CN" w:bidi="ar"/>
              </w:rPr>
            </w:pPr>
            <w:r>
              <w:rPr>
                <w:rFonts w:hint="default" w:ascii="等线" w:hAnsi="等线" w:eastAsia="等线" w:cs="等线"/>
                <w:i w:val="0"/>
                <w:color w:val="000000"/>
                <w:kern w:val="0"/>
                <w:sz w:val="21"/>
                <w:szCs w:val="21"/>
                <w:u w:val="none"/>
                <w:lang w:val="en-US" w:eastAsia="zh-CN" w:bidi="ar"/>
              </w:rPr>
              <w:t>序号</w:t>
            </w: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0"/>
                <w:sz w:val="21"/>
                <w:szCs w:val="21"/>
                <w:u w:val="none"/>
                <w:lang w:val="en-US" w:eastAsia="zh-CN" w:bidi="ar"/>
              </w:rPr>
            </w:pPr>
            <w:r>
              <w:rPr>
                <w:rFonts w:hint="default" w:ascii="等线" w:hAnsi="等线" w:eastAsia="等线" w:cs="等线"/>
                <w:i w:val="0"/>
                <w:color w:val="000000"/>
                <w:kern w:val="0"/>
                <w:sz w:val="21"/>
                <w:szCs w:val="21"/>
                <w:u w:val="none"/>
                <w:lang w:val="en-US" w:eastAsia="zh-CN" w:bidi="ar"/>
              </w:rPr>
              <w:t>车牌号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1</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粤E-14756</w:t>
            </w:r>
          </w:p>
        </w:tc>
        <w:tc>
          <w:tcPr>
            <w:tcW w:w="857" w:type="pct"/>
            <w:noWrap/>
            <w:vAlign w:val="bottom"/>
          </w:tcPr>
          <w:p>
            <w:pPr>
              <w:keepNext w:val="0"/>
              <w:keepLines w:val="0"/>
              <w:widowControl/>
              <w:suppressLineNumbers w:val="0"/>
              <w:jc w:val="both"/>
              <w:textAlignment w:val="bottom"/>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20</w:t>
            </w: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粤E-ZF130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2</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粤E-16087</w:t>
            </w:r>
          </w:p>
        </w:tc>
        <w:tc>
          <w:tcPr>
            <w:tcW w:w="857" w:type="pct"/>
            <w:noWrap/>
            <w:vAlign w:val="bottom"/>
          </w:tcPr>
          <w:p>
            <w:pPr>
              <w:keepNext w:val="0"/>
              <w:keepLines w:val="0"/>
              <w:widowControl/>
              <w:suppressLineNumbers w:val="0"/>
              <w:jc w:val="both"/>
              <w:textAlignment w:val="bottom"/>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21</w:t>
            </w: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粤E-ZF156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3</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粤E-16097</w:t>
            </w:r>
          </w:p>
        </w:tc>
        <w:tc>
          <w:tcPr>
            <w:tcW w:w="857" w:type="pct"/>
            <w:noWrap/>
            <w:vAlign w:val="bottom"/>
          </w:tcPr>
          <w:p>
            <w:pPr>
              <w:keepNext w:val="0"/>
              <w:keepLines w:val="0"/>
              <w:widowControl/>
              <w:suppressLineNumbers w:val="0"/>
              <w:jc w:val="both"/>
              <w:textAlignment w:val="bottom"/>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22</w:t>
            </w: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粤E-ZF211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4</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粤E-16541</w:t>
            </w:r>
          </w:p>
        </w:tc>
        <w:tc>
          <w:tcPr>
            <w:tcW w:w="857" w:type="pct"/>
            <w:noWrap/>
            <w:vAlign w:val="bottom"/>
          </w:tcPr>
          <w:p>
            <w:pPr>
              <w:keepNext w:val="0"/>
              <w:keepLines w:val="0"/>
              <w:widowControl/>
              <w:suppressLineNumbers w:val="0"/>
              <w:jc w:val="both"/>
              <w:textAlignment w:val="bottom"/>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23</w:t>
            </w: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粤E-ZF215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5</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粤E-70244</w:t>
            </w:r>
          </w:p>
        </w:tc>
        <w:tc>
          <w:tcPr>
            <w:tcW w:w="857" w:type="pct"/>
            <w:noWrap/>
            <w:vAlign w:val="bottom"/>
          </w:tcPr>
          <w:p>
            <w:pPr>
              <w:keepNext w:val="0"/>
              <w:keepLines w:val="0"/>
              <w:widowControl/>
              <w:suppressLineNumbers w:val="0"/>
              <w:jc w:val="both"/>
              <w:textAlignment w:val="bottom"/>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24</w:t>
            </w: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粤E-ZF256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6</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粤E-16794</w:t>
            </w:r>
          </w:p>
        </w:tc>
        <w:tc>
          <w:tcPr>
            <w:tcW w:w="857" w:type="pct"/>
            <w:noWrap/>
            <w:vAlign w:val="bottom"/>
          </w:tcPr>
          <w:p>
            <w:pPr>
              <w:keepNext w:val="0"/>
              <w:keepLines w:val="0"/>
              <w:widowControl/>
              <w:suppressLineNumbers w:val="0"/>
              <w:jc w:val="both"/>
              <w:textAlignment w:val="bottom"/>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25</w:t>
            </w: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粤E-ZF271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7</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粤E-17340</w:t>
            </w:r>
          </w:p>
        </w:tc>
        <w:tc>
          <w:tcPr>
            <w:tcW w:w="857" w:type="pct"/>
            <w:noWrap/>
            <w:vAlign w:val="bottom"/>
          </w:tcPr>
          <w:p>
            <w:pPr>
              <w:keepNext w:val="0"/>
              <w:keepLines w:val="0"/>
              <w:widowControl/>
              <w:suppressLineNumbers w:val="0"/>
              <w:jc w:val="both"/>
              <w:textAlignment w:val="bottom"/>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26</w:t>
            </w: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粤E-ZF286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8</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粤E-71021</w:t>
            </w:r>
          </w:p>
        </w:tc>
        <w:tc>
          <w:tcPr>
            <w:tcW w:w="857" w:type="pct"/>
            <w:noWrap/>
            <w:vAlign w:val="bottom"/>
          </w:tcPr>
          <w:p>
            <w:pPr>
              <w:keepNext w:val="0"/>
              <w:keepLines w:val="0"/>
              <w:widowControl/>
              <w:suppressLineNumbers w:val="0"/>
              <w:jc w:val="both"/>
              <w:textAlignment w:val="bottom"/>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27</w:t>
            </w: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粤E-ZF295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9</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粤E-79022</w:t>
            </w:r>
          </w:p>
        </w:tc>
        <w:tc>
          <w:tcPr>
            <w:tcW w:w="857" w:type="pct"/>
            <w:noWrap/>
            <w:vAlign w:val="bottom"/>
          </w:tcPr>
          <w:p>
            <w:pPr>
              <w:keepNext w:val="0"/>
              <w:keepLines w:val="0"/>
              <w:widowControl/>
              <w:suppressLineNumbers w:val="0"/>
              <w:jc w:val="both"/>
              <w:textAlignment w:val="bottom"/>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28</w:t>
            </w: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粤E-ZF297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10</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粤E-16661</w:t>
            </w:r>
          </w:p>
        </w:tc>
        <w:tc>
          <w:tcPr>
            <w:tcW w:w="857" w:type="pct"/>
            <w:noWrap/>
            <w:vAlign w:val="bottom"/>
          </w:tcPr>
          <w:p>
            <w:pPr>
              <w:keepNext w:val="0"/>
              <w:keepLines w:val="0"/>
              <w:widowControl/>
              <w:suppressLineNumbers w:val="0"/>
              <w:jc w:val="both"/>
              <w:textAlignment w:val="bottom"/>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29</w:t>
            </w: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粤E-ZF302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11</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粤E-17341</w:t>
            </w:r>
          </w:p>
        </w:tc>
        <w:tc>
          <w:tcPr>
            <w:tcW w:w="857" w:type="pct"/>
            <w:noWrap/>
            <w:vAlign w:val="bottom"/>
          </w:tcPr>
          <w:p>
            <w:pPr>
              <w:keepNext w:val="0"/>
              <w:keepLines w:val="0"/>
              <w:widowControl/>
              <w:suppressLineNumbers w:val="0"/>
              <w:jc w:val="both"/>
              <w:textAlignment w:val="bottom"/>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30</w:t>
            </w: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粤E-ZF480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12</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粤E-20976</w:t>
            </w:r>
          </w:p>
        </w:tc>
        <w:tc>
          <w:tcPr>
            <w:tcW w:w="857" w:type="pct"/>
            <w:noWrap/>
            <w:vAlign w:val="bottom"/>
          </w:tcPr>
          <w:p>
            <w:pPr>
              <w:keepNext w:val="0"/>
              <w:keepLines w:val="0"/>
              <w:widowControl/>
              <w:suppressLineNumbers w:val="0"/>
              <w:jc w:val="both"/>
              <w:textAlignment w:val="bottom"/>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31</w:t>
            </w: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粤E-01E36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13</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粤E-21060</w:t>
            </w:r>
          </w:p>
        </w:tc>
        <w:tc>
          <w:tcPr>
            <w:tcW w:w="857" w:type="pct"/>
            <w:noWrap/>
            <w:vAlign w:val="bottom"/>
          </w:tcPr>
          <w:p>
            <w:pPr>
              <w:keepNext w:val="0"/>
              <w:keepLines w:val="0"/>
              <w:widowControl/>
              <w:suppressLineNumbers w:val="0"/>
              <w:jc w:val="both"/>
              <w:textAlignment w:val="bottom"/>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32</w:t>
            </w: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粤E-02E36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14</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粤E-FS230</w:t>
            </w:r>
          </w:p>
        </w:tc>
        <w:tc>
          <w:tcPr>
            <w:tcW w:w="857" w:type="pct"/>
            <w:noWrap/>
            <w:vAlign w:val="bottom"/>
          </w:tcPr>
          <w:p>
            <w:pPr>
              <w:keepNext w:val="0"/>
              <w:keepLines w:val="0"/>
              <w:widowControl/>
              <w:suppressLineNumbers w:val="0"/>
              <w:jc w:val="both"/>
              <w:textAlignment w:val="bottom"/>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33</w:t>
            </w: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粤E-ZF159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15</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粤E-FS231</w:t>
            </w:r>
          </w:p>
        </w:tc>
        <w:tc>
          <w:tcPr>
            <w:tcW w:w="857" w:type="pct"/>
            <w:noWrap/>
            <w:vAlign w:val="bottom"/>
          </w:tcPr>
          <w:p>
            <w:pPr>
              <w:keepNext w:val="0"/>
              <w:keepLines w:val="0"/>
              <w:widowControl/>
              <w:suppressLineNumbers w:val="0"/>
              <w:jc w:val="both"/>
              <w:textAlignment w:val="bottom"/>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34</w:t>
            </w: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粤E-ZF303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16</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粤E-Z8668</w:t>
            </w:r>
          </w:p>
        </w:tc>
        <w:tc>
          <w:tcPr>
            <w:tcW w:w="857" w:type="pct"/>
            <w:noWrap/>
            <w:vAlign w:val="bottom"/>
          </w:tcPr>
          <w:p>
            <w:pPr>
              <w:keepNext w:val="0"/>
              <w:keepLines w:val="0"/>
              <w:widowControl/>
              <w:suppressLineNumbers w:val="0"/>
              <w:jc w:val="both"/>
              <w:textAlignment w:val="bottom"/>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35</w:t>
            </w: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粤E-T883F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17</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粤E-ZF035</w:t>
            </w:r>
          </w:p>
        </w:tc>
        <w:tc>
          <w:tcPr>
            <w:tcW w:w="857" w:type="pct"/>
            <w:noWrap/>
            <w:vAlign w:val="bottom"/>
          </w:tcPr>
          <w:p>
            <w:pPr>
              <w:keepNext w:val="0"/>
              <w:keepLines w:val="0"/>
              <w:widowControl/>
              <w:suppressLineNumbers w:val="0"/>
              <w:jc w:val="both"/>
              <w:textAlignment w:val="bottom"/>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36</w:t>
            </w: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粤EFU823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18</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粤E-ZF037</w:t>
            </w:r>
          </w:p>
        </w:tc>
        <w:tc>
          <w:tcPr>
            <w:tcW w:w="857" w:type="pct"/>
            <w:noWrap/>
            <w:vAlign w:val="bottom"/>
          </w:tcPr>
          <w:p>
            <w:pPr>
              <w:keepNext w:val="0"/>
              <w:keepLines w:val="0"/>
              <w:widowControl/>
              <w:suppressLineNumbers w:val="0"/>
              <w:jc w:val="both"/>
              <w:textAlignment w:val="bottom"/>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37</w:t>
            </w: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2"/>
                <w:sz w:val="21"/>
                <w:szCs w:val="21"/>
                <w:u w:val="none"/>
                <w:lang w:val="en-US" w:eastAsia="zh-CN" w:bidi="ar-SA"/>
              </w:rPr>
            </w:pPr>
            <w:r>
              <w:rPr>
                <w:rFonts w:hint="default" w:ascii="等线" w:hAnsi="等线" w:eastAsia="等线" w:cs="等线"/>
                <w:i w:val="0"/>
                <w:color w:val="000000"/>
                <w:kern w:val="0"/>
                <w:sz w:val="21"/>
                <w:szCs w:val="21"/>
                <w:u w:val="none"/>
                <w:lang w:val="en-US" w:eastAsia="zh-CN" w:bidi="ar"/>
              </w:rPr>
              <w:t>粤OE0007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535" w:type="pct"/>
            <w:noWrap/>
            <w:vAlign w:val="bottom"/>
          </w:tcPr>
          <w:p>
            <w:pPr>
              <w:keepNext w:val="0"/>
              <w:keepLines w:val="0"/>
              <w:widowControl/>
              <w:suppressLineNumbers w:val="0"/>
              <w:jc w:val="both"/>
              <w:textAlignment w:val="bottom"/>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19</w:t>
            </w:r>
          </w:p>
        </w:tc>
        <w:tc>
          <w:tcPr>
            <w:tcW w:w="1714" w:type="pct"/>
            <w:noWrap/>
            <w:vAlign w:val="center"/>
          </w:tcPr>
          <w:p>
            <w:pPr>
              <w:keepNext w:val="0"/>
              <w:keepLines w:val="0"/>
              <w:widowControl/>
              <w:suppressLineNumbers w:val="0"/>
              <w:jc w:val="both"/>
              <w:textAlignment w:val="center"/>
              <w:rPr>
                <w:rFonts w:hint="default" w:ascii="等线" w:hAnsi="等线" w:eastAsia="等线" w:cs="等线"/>
                <w:i w:val="0"/>
                <w:color w:val="000000"/>
                <w:sz w:val="21"/>
                <w:szCs w:val="21"/>
                <w:u w:val="none"/>
              </w:rPr>
            </w:pPr>
            <w:r>
              <w:rPr>
                <w:rFonts w:hint="default" w:ascii="等线" w:hAnsi="等线" w:eastAsia="等线" w:cs="等线"/>
                <w:i w:val="0"/>
                <w:color w:val="000000"/>
                <w:kern w:val="0"/>
                <w:sz w:val="21"/>
                <w:szCs w:val="21"/>
                <w:u w:val="none"/>
                <w:lang w:val="en-US" w:eastAsia="zh-CN" w:bidi="ar"/>
              </w:rPr>
              <w:t>粤E-ZF077</w:t>
            </w:r>
          </w:p>
        </w:tc>
        <w:tc>
          <w:tcPr>
            <w:tcW w:w="857" w:type="pct"/>
            <w:noWrap/>
            <w:vAlign w:val="bottom"/>
          </w:tcPr>
          <w:p>
            <w:pPr>
              <w:keepNext w:val="0"/>
              <w:keepLines w:val="0"/>
              <w:widowControl/>
              <w:suppressLineNumbers w:val="0"/>
              <w:jc w:val="both"/>
              <w:textAlignment w:val="bottom"/>
              <w:rPr>
                <w:rFonts w:hint="default" w:ascii="等线" w:hAnsi="等线" w:eastAsia="等线" w:cs="等线"/>
                <w:i w:val="0"/>
                <w:color w:val="000000"/>
                <w:kern w:val="2"/>
                <w:sz w:val="21"/>
                <w:szCs w:val="21"/>
                <w:u w:val="none"/>
                <w:lang w:val="en-US" w:eastAsia="zh-CN" w:bidi="ar-SA"/>
              </w:rPr>
            </w:pPr>
          </w:p>
        </w:tc>
        <w:tc>
          <w:tcPr>
            <w:tcW w:w="1892" w:type="pct"/>
            <w:noWrap/>
            <w:vAlign w:val="center"/>
          </w:tcPr>
          <w:p>
            <w:pPr>
              <w:keepNext w:val="0"/>
              <w:keepLines w:val="0"/>
              <w:widowControl/>
              <w:suppressLineNumbers w:val="0"/>
              <w:jc w:val="both"/>
              <w:textAlignment w:val="center"/>
              <w:rPr>
                <w:rFonts w:hint="default" w:ascii="等线" w:hAnsi="等线" w:eastAsia="等线" w:cs="等线"/>
                <w:i w:val="0"/>
                <w:color w:val="000000"/>
                <w:kern w:val="2"/>
                <w:sz w:val="21"/>
                <w:szCs w:val="21"/>
                <w:u w:val="none"/>
                <w:lang w:val="en-US" w:eastAsia="zh-CN" w:bidi="ar-SA"/>
              </w:rPr>
            </w:pPr>
          </w:p>
        </w:tc>
      </w:tr>
    </w:tbl>
    <w:p>
      <w:pPr>
        <w:keepNext w:val="0"/>
        <w:keepLines w:val="0"/>
        <w:pageBreakBefore w:val="0"/>
        <w:widowControl w:val="0"/>
        <w:kinsoku/>
        <w:wordWrap/>
        <w:overflowPunct/>
        <w:topLinePunct w:val="0"/>
        <w:autoSpaceDE/>
        <w:autoSpaceDN/>
        <w:bidi w:val="0"/>
        <w:adjustRightInd/>
        <w:snapToGrid/>
        <w:jc w:val="both"/>
        <w:textAlignment w:val="auto"/>
        <w:rPr>
          <w:rFonts w:hint="eastAsia"/>
        </w:rPr>
      </w:pPr>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等线">
    <w:altName w:val="AR PL UKai CN"/>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 PL UKai CN">
    <w:panose1 w:val="02000503000000000000"/>
    <w:charset w:val="86"/>
    <w:family w:val="auto"/>
    <w:pitch w:val="default"/>
    <w:sig w:usb0="A00002FF" w:usb1="3ACFFDFF" w:usb2="00000036" w:usb3="00000000" w:csb0="2016009F" w:csb1="DFD7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DF2879"/>
    <w:multiLevelType w:val="singleLevel"/>
    <w:tmpl w:val="FFDF2879"/>
    <w:lvl w:ilvl="0" w:tentative="0">
      <w:start w:val="2"/>
      <w:numFmt w:val="decimal"/>
      <w:lvlText w:val="%1."/>
      <w:lvlJc w:val="left"/>
      <w:pPr>
        <w:tabs>
          <w:tab w:val="left" w:pos="312"/>
        </w:tabs>
      </w:pPr>
    </w:lvl>
  </w:abstractNum>
  <w:abstractNum w:abstractNumId="1">
    <w:nsid w:val="1F5F29C8"/>
    <w:multiLevelType w:val="multilevel"/>
    <w:tmpl w:val="1F5F29C8"/>
    <w:lvl w:ilvl="0" w:tentative="0">
      <w:start w:val="1"/>
      <w:numFmt w:val="decimal"/>
      <w:lvlText w:val="%1"/>
      <w:lvlJc w:val="left"/>
      <w:pPr>
        <w:tabs>
          <w:tab w:val="left" w:pos="170"/>
        </w:tabs>
        <w:ind w:left="170" w:hanging="17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DF6AC0C"/>
    <w:rsid w:val="0EE74AEA"/>
    <w:rsid w:val="16FB1674"/>
    <w:rsid w:val="177A53EF"/>
    <w:rsid w:val="1BBECFE8"/>
    <w:rsid w:val="1CB22D0C"/>
    <w:rsid w:val="2B7F5084"/>
    <w:rsid w:val="2D7F9AD0"/>
    <w:rsid w:val="33ED80A0"/>
    <w:rsid w:val="3AFFB8DD"/>
    <w:rsid w:val="3F408F15"/>
    <w:rsid w:val="46FF0EFF"/>
    <w:rsid w:val="4D4F6697"/>
    <w:rsid w:val="5B6F001F"/>
    <w:rsid w:val="5FFD3AF6"/>
    <w:rsid w:val="63F638D4"/>
    <w:rsid w:val="6F762B9B"/>
    <w:rsid w:val="6FDF7660"/>
    <w:rsid w:val="7C6F3A3D"/>
    <w:rsid w:val="8EFB136E"/>
    <w:rsid w:val="BFDF2503"/>
    <w:rsid w:val="CB421289"/>
    <w:rsid w:val="EB9FCD5F"/>
    <w:rsid w:val="EDF6AC0C"/>
    <w:rsid w:val="F2FE2484"/>
    <w:rsid w:val="F3F6BCE3"/>
    <w:rsid w:val="FBEFF1D7"/>
    <w:rsid w:val="FDDFCFC8"/>
    <w:rsid w:val="FE6F7F0F"/>
    <w:rsid w:val="FE9F7D58"/>
    <w:rsid w:val="FEDF3E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pPr>
      <w:snapToGrid w:val="0"/>
      <w:jc w:val="left"/>
    </w:pPr>
    <w:rPr>
      <w:rFonts w:ascii="宋体" w:hAnsi="宋体" w:eastAsia="宋体" w:cs="Times New Roman"/>
      <w:kern w:val="0"/>
      <w:sz w:val="2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正文1"/>
    <w:qFormat/>
    <w:uiPriority w:val="0"/>
    <w:pPr>
      <w:widowControl w:val="0"/>
      <w:jc w:val="both"/>
    </w:pPr>
    <w:rPr>
      <w:rFonts w:ascii="Calibri" w:hAnsi="Calibri"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2022-09-28T15:26:00Z</dcterms:created>
  <dc:creator>黄海鸥</dc:creator>
  <cp:lastModifiedBy>刘鹏</cp:lastModifiedBy>
  <cp:lastPrinted>2022-12-08T16:10:00Z</cp:lastPrinted>
  <dcterms:modified xsi:type="dcterms:W3CDTF">2023-12-04T17:47:38Z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