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5E" w:rsidRDefault="0012185A" w:rsidP="0012185A">
      <w:pPr>
        <w:jc w:val="center"/>
        <w:rPr>
          <w:rFonts w:ascii="Arial" w:hAnsi="Arial" w:cs="Arial" w:hint="eastAsia"/>
          <w:b/>
          <w:bCs/>
          <w:color w:val="185895"/>
          <w:sz w:val="36"/>
          <w:szCs w:val="36"/>
        </w:rPr>
      </w:pPr>
      <w:r>
        <w:rPr>
          <w:rFonts w:ascii="Arial" w:hAnsi="Arial" w:cs="Arial"/>
          <w:b/>
          <w:bCs/>
          <w:color w:val="185895"/>
          <w:sz w:val="36"/>
          <w:szCs w:val="36"/>
        </w:rPr>
        <w:t>中华人民共和国财政部令第</w:t>
      </w:r>
      <w:r>
        <w:rPr>
          <w:rFonts w:ascii="Arial" w:hAnsi="Arial" w:cs="Arial"/>
          <w:b/>
          <w:bCs/>
          <w:color w:val="185895"/>
          <w:sz w:val="36"/>
          <w:szCs w:val="36"/>
        </w:rPr>
        <w:t>78</w:t>
      </w:r>
      <w:r>
        <w:rPr>
          <w:rFonts w:ascii="Arial" w:hAnsi="Arial" w:cs="Arial"/>
          <w:b/>
          <w:bCs/>
          <w:color w:val="185895"/>
          <w:sz w:val="36"/>
          <w:szCs w:val="36"/>
        </w:rPr>
        <w:t>号</w:t>
      </w:r>
      <w:r>
        <w:rPr>
          <w:rFonts w:ascii="Arial" w:hAnsi="Arial" w:cs="Arial"/>
          <w:b/>
          <w:bCs/>
          <w:color w:val="185895"/>
          <w:sz w:val="36"/>
          <w:szCs w:val="36"/>
        </w:rPr>
        <w:t>——</w:t>
      </w:r>
      <w:r>
        <w:rPr>
          <w:rFonts w:ascii="Arial" w:hAnsi="Arial" w:cs="Arial"/>
          <w:b/>
          <w:bCs/>
          <w:color w:val="185895"/>
          <w:sz w:val="36"/>
          <w:szCs w:val="36"/>
        </w:rPr>
        <w:br/>
      </w:r>
      <w:r>
        <w:rPr>
          <w:rFonts w:ascii="Arial" w:hAnsi="Arial" w:cs="Arial"/>
          <w:b/>
          <w:bCs/>
          <w:color w:val="185895"/>
          <w:sz w:val="36"/>
          <w:szCs w:val="36"/>
        </w:rPr>
        <w:t>政府会计准则</w:t>
      </w:r>
      <w:r>
        <w:rPr>
          <w:rFonts w:ascii="Arial" w:hAnsi="Arial" w:cs="Arial"/>
          <w:b/>
          <w:bCs/>
          <w:color w:val="185895"/>
          <w:sz w:val="36"/>
          <w:szCs w:val="36"/>
        </w:rPr>
        <w:t>——</w:t>
      </w:r>
      <w:r>
        <w:rPr>
          <w:rFonts w:ascii="Arial" w:hAnsi="Arial" w:cs="Arial"/>
          <w:b/>
          <w:bCs/>
          <w:color w:val="185895"/>
          <w:sz w:val="36"/>
          <w:szCs w:val="36"/>
        </w:rPr>
        <w:t>基本准则</w:t>
      </w:r>
    </w:p>
    <w:p w:rsidR="0012185A" w:rsidRDefault="0012185A">
      <w:pPr>
        <w:rPr>
          <w:rFonts w:ascii="Arial" w:hAnsi="Arial" w:cs="Arial" w:hint="eastAsia"/>
          <w:b/>
          <w:bCs/>
          <w:color w:val="185895"/>
          <w:sz w:val="36"/>
          <w:szCs w:val="36"/>
        </w:rPr>
      </w:pPr>
    </w:p>
    <w:p w:rsidR="0012185A" w:rsidRDefault="0012185A" w:rsidP="0012185A">
      <w:pPr>
        <w:pStyle w:val="a3"/>
        <w:wordWrap w:val="0"/>
        <w:spacing w:line="432" w:lineRule="auto"/>
        <w:rPr>
          <w:rFonts w:ascii="Arial" w:hAnsi="Arial" w:cs="Arial"/>
        </w:rPr>
      </w:pPr>
      <w:r>
        <w:rPr>
          <w:rFonts w:ascii="Arial" w:hAnsi="Arial" w:cs="Arial"/>
        </w:rPr>
        <w:t>《政府会计准则</w:t>
      </w:r>
      <w:r>
        <w:rPr>
          <w:rFonts w:ascii="Arial" w:hAnsi="Arial" w:cs="Arial"/>
        </w:rPr>
        <w:t>——</w:t>
      </w:r>
      <w:r>
        <w:rPr>
          <w:rFonts w:ascii="Arial" w:hAnsi="Arial" w:cs="Arial"/>
        </w:rPr>
        <w:t>基本准则》已经财政部部务会议审议通过，现予公布，自</w:t>
      </w:r>
      <w:r>
        <w:rPr>
          <w:rFonts w:ascii="Arial" w:hAnsi="Arial" w:cs="Arial"/>
        </w:rPr>
        <w:t>2017</w:t>
      </w:r>
      <w:r>
        <w:rPr>
          <w:rFonts w:ascii="Arial" w:hAnsi="Arial" w:cs="Arial"/>
        </w:rPr>
        <w:t>年</w:t>
      </w:r>
      <w:r>
        <w:rPr>
          <w:rFonts w:ascii="Arial" w:hAnsi="Arial" w:cs="Arial"/>
        </w:rPr>
        <w:t>1</w:t>
      </w:r>
      <w:r>
        <w:rPr>
          <w:rFonts w:ascii="Arial" w:hAnsi="Arial" w:cs="Arial"/>
        </w:rPr>
        <w:t>月</w:t>
      </w:r>
      <w:r>
        <w:rPr>
          <w:rFonts w:ascii="Arial" w:hAnsi="Arial" w:cs="Arial"/>
        </w:rPr>
        <w:t>1</w:t>
      </w:r>
      <w:r>
        <w:rPr>
          <w:rFonts w:ascii="Arial" w:hAnsi="Arial" w:cs="Arial"/>
        </w:rPr>
        <w:t>日起施行。</w:t>
      </w:r>
    </w:p>
    <w:p w:rsidR="0012185A" w:rsidRDefault="0012185A" w:rsidP="0012185A">
      <w:pPr>
        <w:pStyle w:val="a3"/>
        <w:wordWrap w:val="0"/>
        <w:spacing w:line="432" w:lineRule="auto"/>
        <w:jc w:val="right"/>
        <w:rPr>
          <w:rFonts w:ascii="Arial" w:hAnsi="Arial" w:cs="Arial"/>
        </w:rPr>
      </w:pPr>
      <w:r>
        <w:rPr>
          <w:rFonts w:ascii="Arial" w:hAnsi="Arial" w:cs="Arial"/>
        </w:rPr>
        <w:t xml:space="preserve">　　</w:t>
      </w:r>
      <w:r>
        <w:rPr>
          <w:rFonts w:ascii="Arial" w:hAnsi="Arial" w:cs="Arial"/>
        </w:rPr>
        <w:t>                    </w:t>
      </w:r>
      <w:r>
        <w:rPr>
          <w:rFonts w:ascii="Arial" w:hAnsi="Arial" w:cs="Arial"/>
        </w:rPr>
        <w:t>部长：楼继伟</w:t>
      </w:r>
    </w:p>
    <w:p w:rsidR="0012185A" w:rsidRDefault="0012185A" w:rsidP="0012185A">
      <w:pPr>
        <w:pStyle w:val="a3"/>
        <w:wordWrap w:val="0"/>
        <w:spacing w:line="432" w:lineRule="auto"/>
        <w:jc w:val="right"/>
        <w:rPr>
          <w:rFonts w:ascii="Arial" w:hAnsi="Arial" w:cs="Arial" w:hint="eastAsia"/>
        </w:rPr>
      </w:pPr>
      <w:r>
        <w:rPr>
          <w:rFonts w:ascii="Arial" w:hAnsi="Arial" w:cs="Arial"/>
        </w:rPr>
        <w:t>2015</w:t>
      </w:r>
      <w:r>
        <w:rPr>
          <w:rFonts w:ascii="Arial" w:hAnsi="Arial" w:cs="Arial"/>
        </w:rPr>
        <w:t>年</w:t>
      </w:r>
      <w:r>
        <w:rPr>
          <w:rFonts w:ascii="Arial" w:hAnsi="Arial" w:cs="Arial"/>
        </w:rPr>
        <w:t>10</w:t>
      </w:r>
      <w:r>
        <w:rPr>
          <w:rFonts w:ascii="Arial" w:hAnsi="Arial" w:cs="Arial"/>
        </w:rPr>
        <w:t>月</w:t>
      </w:r>
      <w:r>
        <w:rPr>
          <w:rFonts w:ascii="Arial" w:hAnsi="Arial" w:cs="Arial" w:hint="eastAsia"/>
        </w:rPr>
        <w:t>23</w:t>
      </w:r>
      <w:r>
        <w:rPr>
          <w:rFonts w:ascii="Arial" w:hAnsi="Arial" w:cs="Arial" w:hint="eastAsia"/>
        </w:rPr>
        <w:t>日</w:t>
      </w:r>
    </w:p>
    <w:p w:rsidR="0012185A" w:rsidRPr="0012185A" w:rsidRDefault="0012185A" w:rsidP="0012185A">
      <w:pPr>
        <w:pStyle w:val="a3"/>
        <w:spacing w:line="432" w:lineRule="auto"/>
        <w:ind w:right="480"/>
        <w:jc w:val="center"/>
        <w:rPr>
          <w:rFonts w:ascii="Arial" w:hAnsi="Arial" w:cs="Arial" w:hint="eastAsia"/>
          <w:b/>
        </w:rPr>
      </w:pPr>
      <w:r w:rsidRPr="0012185A">
        <w:rPr>
          <w:rFonts w:ascii="Arial" w:hAnsi="Arial" w:cs="Arial" w:hint="eastAsia"/>
          <w:b/>
        </w:rPr>
        <w:t>政府会计准则——基本准则</w:t>
      </w:r>
    </w:p>
    <w:p w:rsidR="0012185A" w:rsidRPr="0012185A" w:rsidRDefault="0012185A" w:rsidP="0012185A">
      <w:pPr>
        <w:pStyle w:val="a3"/>
        <w:spacing w:line="432" w:lineRule="auto"/>
        <w:ind w:right="480"/>
        <w:rPr>
          <w:rFonts w:ascii="Arial" w:hAnsi="Arial" w:cs="Arial"/>
        </w:rPr>
      </w:pPr>
      <w:bookmarkStart w:id="0" w:name="_GoBack"/>
      <w:bookmarkEnd w:id="0"/>
    </w:p>
    <w:p w:rsidR="0012185A" w:rsidRPr="0012185A" w:rsidRDefault="0012185A" w:rsidP="0012185A">
      <w:pPr>
        <w:pStyle w:val="a3"/>
        <w:spacing w:line="432" w:lineRule="auto"/>
        <w:ind w:right="480"/>
        <w:jc w:val="center"/>
        <w:rPr>
          <w:rFonts w:ascii="Arial" w:hAnsi="Arial" w:cs="Arial" w:hint="eastAsia"/>
        </w:rPr>
      </w:pPr>
      <w:r w:rsidRPr="0012185A">
        <w:rPr>
          <w:rFonts w:ascii="Arial" w:hAnsi="Arial" w:cs="Arial" w:hint="eastAsia"/>
        </w:rPr>
        <w:t>第一章　总</w:t>
      </w:r>
      <w:r w:rsidRPr="0012185A">
        <w:rPr>
          <w:rFonts w:ascii="Arial" w:hAnsi="Arial" w:cs="Arial" w:hint="eastAsia"/>
        </w:rPr>
        <w:t xml:space="preserve"> </w:t>
      </w:r>
      <w:r w:rsidRPr="0012185A">
        <w:rPr>
          <w:rFonts w:ascii="Arial" w:hAnsi="Arial" w:cs="Arial" w:hint="eastAsia"/>
        </w:rPr>
        <w:t>则</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第一条　为了规范政府的会计核算，保证会计信息质量，根据《中华人民共和国会计法》、《中华人民共和国预算法》和其他有关法律、行政法规，制定本准则。</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第二条</w:t>
      </w:r>
      <w:r w:rsidRPr="0012185A">
        <w:rPr>
          <w:rFonts w:ascii="Arial" w:hAnsi="Arial" w:cs="Arial" w:hint="eastAsia"/>
        </w:rPr>
        <w:t xml:space="preserve"> </w:t>
      </w:r>
      <w:r w:rsidRPr="0012185A">
        <w:rPr>
          <w:rFonts w:ascii="Arial" w:hAnsi="Arial" w:cs="Arial" w:hint="eastAsia"/>
        </w:rPr>
        <w:t>本准则适用于各级政府、各部门、各单位（以下统称政府会计主体）。</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前款所称各部门、各单位是指与本级政府财政部门直接或者间接发生预算拨款关系的国家机关、军队、政党组织、社会团体、事业单位和其他单位。</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军队、已纳入企业财务管理体系的单位和执行《民间非营利组织会计制度》的社会团体，不适用本准则。</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第三条　政府会计由预算会计和财务会计构成。</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预算会计实行收付实现制，国务院另有规定的，依照其规定。</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财务会计实行权责发生制。</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第四条</w:t>
      </w:r>
      <w:r w:rsidRPr="0012185A">
        <w:rPr>
          <w:rFonts w:ascii="Arial" w:hAnsi="Arial" w:cs="Arial" w:hint="eastAsia"/>
        </w:rPr>
        <w:t xml:space="preserve"> </w:t>
      </w:r>
      <w:r w:rsidRPr="0012185A">
        <w:rPr>
          <w:rFonts w:ascii="Arial" w:hAnsi="Arial" w:cs="Arial" w:hint="eastAsia"/>
        </w:rPr>
        <w:t>政府会计具体准则及其应用指南、政府会计制度等，应当由财政部遵循本准则制定。</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第五条　政府会计主体应当编制决算报告和财务报告。</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决算报告的目标是向决算报告使用者提供与政府预算执行情况有关的信息，综合反映政府会计主体预算收支的年度执行结果，有助于决算报告使用者进行监督和管理，并为编制后续年度预算提供参考和依据。政府决算报告使用者包括各级人民代表大会及其常务委员会、各级政府及其有关部门、政府会计主体自身、社会公众和其他利益相关者。</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财务报告的目标是向财务报告使用者提供与政府的财务状况、运行情况（含运行成本，下同）和现金流量等有关信息，反映政府会计主体公共受托责任履行情况，有助于财务报告使用者</w:t>
      </w:r>
      <w:proofErr w:type="gramStart"/>
      <w:r w:rsidRPr="0012185A">
        <w:rPr>
          <w:rFonts w:ascii="Arial" w:hAnsi="Arial" w:cs="Arial" w:hint="eastAsia"/>
        </w:rPr>
        <w:t>作出</w:t>
      </w:r>
      <w:proofErr w:type="gramEnd"/>
      <w:r w:rsidRPr="0012185A">
        <w:rPr>
          <w:rFonts w:ascii="Arial" w:hAnsi="Arial" w:cs="Arial" w:hint="eastAsia"/>
        </w:rPr>
        <w:t>决策或者进行监督和管理。政府财务报告使用者包括各级人民代表大会常务委员会、债权人、各级政府及其有关部门、政府会计主体自身和其他利益相关者。</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第六条　政府会计主体应当对其自身发生的经济业务或者事项进行会计核算。</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第七条　政府会计核算应当以政府会计主体持续运行为前提。</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第八条　政府会计核算应当划分会计期间，分期结算账目，按规定编制决算报告和财务报告。</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会计期间至少分为年度和月度。会计年度、月度等会计期间的起讫日期采用公历日期。</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第九条　政府会计核算应当以人民币作为记账本位币。发生外币业务时，应当将有关外币金额折算为人民币金额计量，同时登记外币金额。</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第十条　政府会计核算应当采用借贷记账法记账。</w:t>
      </w:r>
    </w:p>
    <w:p w:rsidR="0012185A" w:rsidRPr="0012185A" w:rsidRDefault="0012185A" w:rsidP="0012185A">
      <w:pPr>
        <w:pStyle w:val="a3"/>
        <w:spacing w:line="432" w:lineRule="auto"/>
        <w:ind w:right="480"/>
        <w:jc w:val="center"/>
        <w:rPr>
          <w:rFonts w:ascii="Arial" w:hAnsi="Arial" w:cs="Arial" w:hint="eastAsia"/>
        </w:rPr>
      </w:pPr>
      <w:r w:rsidRPr="0012185A">
        <w:rPr>
          <w:rFonts w:ascii="Arial" w:hAnsi="Arial" w:cs="Arial" w:hint="eastAsia"/>
        </w:rPr>
        <w:t>第二章　政府会计信息质量要求</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第十一条　政府会计主体应当以实际发生的经济业务或者事项为依据进行会计核算，如实反映各项会计要素的情况和结果，保证会计信息真实可靠。</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第十二条</w:t>
      </w:r>
      <w:r w:rsidRPr="0012185A">
        <w:rPr>
          <w:rFonts w:ascii="Arial" w:hAnsi="Arial" w:cs="Arial" w:hint="eastAsia"/>
        </w:rPr>
        <w:t xml:space="preserve">  </w:t>
      </w:r>
      <w:r w:rsidRPr="0012185A">
        <w:rPr>
          <w:rFonts w:ascii="Arial" w:hAnsi="Arial" w:cs="Arial" w:hint="eastAsia"/>
        </w:rPr>
        <w:t>政府会计主体应当将发生的各项经济业务或者事项统一纳入会计核算，确保会计信息能够全面反映政府会计主体预算执行情况和财务状况、运行情况、现金流量等。</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第十三条　政府会计主体提供的会计信息，应当与反映政府会计主体公共受托责任履行情况以及报告使用</w:t>
      </w:r>
      <w:proofErr w:type="gramStart"/>
      <w:r w:rsidRPr="0012185A">
        <w:rPr>
          <w:rFonts w:ascii="Arial" w:hAnsi="Arial" w:cs="Arial" w:hint="eastAsia"/>
        </w:rPr>
        <w:t>者决策</w:t>
      </w:r>
      <w:proofErr w:type="gramEnd"/>
      <w:r w:rsidRPr="0012185A">
        <w:rPr>
          <w:rFonts w:ascii="Arial" w:hAnsi="Arial" w:cs="Arial" w:hint="eastAsia"/>
        </w:rPr>
        <w:t>或者监督、管理的需要相关，有助于报告使用者对政府会计主体过去、现在或者未来的情况</w:t>
      </w:r>
      <w:proofErr w:type="gramStart"/>
      <w:r w:rsidRPr="0012185A">
        <w:rPr>
          <w:rFonts w:ascii="Arial" w:hAnsi="Arial" w:cs="Arial" w:hint="eastAsia"/>
        </w:rPr>
        <w:t>作出</w:t>
      </w:r>
      <w:proofErr w:type="gramEnd"/>
      <w:r w:rsidRPr="0012185A">
        <w:rPr>
          <w:rFonts w:ascii="Arial" w:hAnsi="Arial" w:cs="Arial" w:hint="eastAsia"/>
        </w:rPr>
        <w:t>评价或者预测。</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第十四条</w:t>
      </w:r>
      <w:r w:rsidRPr="0012185A">
        <w:rPr>
          <w:rFonts w:ascii="Arial" w:hAnsi="Arial" w:cs="Arial" w:hint="eastAsia"/>
        </w:rPr>
        <w:t xml:space="preserve"> </w:t>
      </w:r>
      <w:r w:rsidRPr="0012185A">
        <w:rPr>
          <w:rFonts w:ascii="Arial" w:hAnsi="Arial" w:cs="Arial" w:hint="eastAsia"/>
        </w:rPr>
        <w:t>政府会计主体对已经发生的经济业务或者事项，应当及时进行会计核算，不得提前或者延后。</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第十五条</w:t>
      </w:r>
      <w:r w:rsidRPr="0012185A">
        <w:rPr>
          <w:rFonts w:ascii="Arial" w:hAnsi="Arial" w:cs="Arial" w:hint="eastAsia"/>
        </w:rPr>
        <w:t xml:space="preserve">  </w:t>
      </w:r>
      <w:r w:rsidRPr="0012185A">
        <w:rPr>
          <w:rFonts w:ascii="Arial" w:hAnsi="Arial" w:cs="Arial" w:hint="eastAsia"/>
        </w:rPr>
        <w:t>政府会计主体提供的会计信息应当具有可比性。</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同一政府会计主体不同时期发生的相同或者相似的经济业务或者事项，应当采用一致的会计政策，不得随意变更。确需变更的，应当将变更的内容、理由及其影响在附注中予以说明。</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不同政府会计主体发生的相同或者相似的经济业务或者事项，应当采用一致的会计政策，确保政府会计信息口径一致，相互可比。</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第十六条　政府会计主体提供的会计信息应当清晰明了，便于报告使用者理解和使用。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第十七条</w:t>
      </w:r>
      <w:r w:rsidRPr="0012185A">
        <w:rPr>
          <w:rFonts w:ascii="Arial" w:hAnsi="Arial" w:cs="Arial" w:hint="eastAsia"/>
        </w:rPr>
        <w:t xml:space="preserve"> </w:t>
      </w:r>
      <w:r w:rsidRPr="0012185A">
        <w:rPr>
          <w:rFonts w:ascii="Arial" w:hAnsi="Arial" w:cs="Arial" w:hint="eastAsia"/>
        </w:rPr>
        <w:t>政府会计主体应当按照经济业务或者事项的经济实质进行会计核算，不限于以经济业务或者事项的法律形式为依据。</w:t>
      </w:r>
    </w:p>
    <w:p w:rsidR="0012185A" w:rsidRPr="0012185A" w:rsidRDefault="0012185A" w:rsidP="0012185A">
      <w:pPr>
        <w:pStyle w:val="a3"/>
        <w:spacing w:line="432" w:lineRule="auto"/>
        <w:ind w:right="480"/>
        <w:jc w:val="center"/>
        <w:rPr>
          <w:rFonts w:ascii="Arial" w:hAnsi="Arial" w:cs="Arial" w:hint="eastAsia"/>
        </w:rPr>
      </w:pPr>
      <w:r w:rsidRPr="0012185A">
        <w:rPr>
          <w:rFonts w:ascii="Arial" w:hAnsi="Arial" w:cs="Arial" w:hint="eastAsia"/>
        </w:rPr>
        <w:t>第三章　政府预算会计要素</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第十八条　政府预算会计要素包括预算收入、预算支出与预算结余。</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第十九条</w:t>
      </w:r>
      <w:r w:rsidRPr="0012185A">
        <w:rPr>
          <w:rFonts w:ascii="Arial" w:hAnsi="Arial" w:cs="Arial" w:hint="eastAsia"/>
        </w:rPr>
        <w:t xml:space="preserve"> </w:t>
      </w:r>
      <w:r w:rsidRPr="0012185A">
        <w:rPr>
          <w:rFonts w:ascii="Arial" w:hAnsi="Arial" w:cs="Arial" w:hint="eastAsia"/>
        </w:rPr>
        <w:t>预算收入是指政府会计主体在预算年度内依法取得的并纳入预算管理的现金流入。</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第二十条</w:t>
      </w:r>
      <w:r w:rsidRPr="0012185A">
        <w:rPr>
          <w:rFonts w:ascii="Arial" w:hAnsi="Arial" w:cs="Arial" w:hint="eastAsia"/>
        </w:rPr>
        <w:t xml:space="preserve">  </w:t>
      </w:r>
      <w:r w:rsidRPr="0012185A">
        <w:rPr>
          <w:rFonts w:ascii="Arial" w:hAnsi="Arial" w:cs="Arial" w:hint="eastAsia"/>
        </w:rPr>
        <w:t>预算收入一般在实际收到时予以确认，以实际收到的金额计量。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第二十一条　预算支出是指政府会计主体在预算年度内依法发生并纳入预算管理的现金流出。</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第二十二条</w:t>
      </w:r>
      <w:r w:rsidRPr="0012185A">
        <w:rPr>
          <w:rFonts w:ascii="Arial" w:hAnsi="Arial" w:cs="Arial" w:hint="eastAsia"/>
        </w:rPr>
        <w:t xml:space="preserve"> </w:t>
      </w:r>
      <w:r w:rsidRPr="0012185A">
        <w:rPr>
          <w:rFonts w:ascii="Arial" w:hAnsi="Arial" w:cs="Arial" w:hint="eastAsia"/>
        </w:rPr>
        <w:t>预算支出一般在实际支付时予以确认，以实际支付的金额计量。</w:t>
      </w:r>
    </w:p>
    <w:p w:rsidR="0012185A" w:rsidRPr="0012185A" w:rsidRDefault="0012185A" w:rsidP="0012185A">
      <w:pPr>
        <w:pStyle w:val="a3"/>
        <w:spacing w:line="432" w:lineRule="auto"/>
        <w:ind w:right="480"/>
        <w:rPr>
          <w:rFonts w:ascii="Arial" w:hAnsi="Arial" w:cs="Arial"/>
        </w:rPr>
      </w:pP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第二十三条</w:t>
      </w:r>
      <w:r w:rsidRPr="0012185A">
        <w:rPr>
          <w:rFonts w:ascii="Arial" w:hAnsi="Arial" w:cs="Arial" w:hint="eastAsia"/>
        </w:rPr>
        <w:t xml:space="preserve"> </w:t>
      </w:r>
      <w:r w:rsidRPr="0012185A">
        <w:rPr>
          <w:rFonts w:ascii="Arial" w:hAnsi="Arial" w:cs="Arial" w:hint="eastAsia"/>
        </w:rPr>
        <w:t>预算结余是指政府会计主体预算年度</w:t>
      </w:r>
      <w:proofErr w:type="gramStart"/>
      <w:r w:rsidRPr="0012185A">
        <w:rPr>
          <w:rFonts w:ascii="Arial" w:hAnsi="Arial" w:cs="Arial" w:hint="eastAsia"/>
        </w:rPr>
        <w:t>内预算</w:t>
      </w:r>
      <w:proofErr w:type="gramEnd"/>
      <w:r w:rsidRPr="0012185A">
        <w:rPr>
          <w:rFonts w:ascii="Arial" w:hAnsi="Arial" w:cs="Arial" w:hint="eastAsia"/>
        </w:rPr>
        <w:t>收入扣除预算支出后的资金余额，以及历年滚存的资金余额。</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第二十四条</w:t>
      </w:r>
      <w:r w:rsidRPr="0012185A">
        <w:rPr>
          <w:rFonts w:ascii="Arial" w:hAnsi="Arial" w:cs="Arial" w:hint="eastAsia"/>
        </w:rPr>
        <w:t xml:space="preserve"> </w:t>
      </w:r>
      <w:r w:rsidRPr="0012185A">
        <w:rPr>
          <w:rFonts w:ascii="Arial" w:hAnsi="Arial" w:cs="Arial" w:hint="eastAsia"/>
        </w:rPr>
        <w:t>预算结余包括结余资金和结转资金。</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结余资金是指年度预算执行终了，预算收入实际完成数扣除预算支出和结转资金后剩余的资金。</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结转资金是指预算安排项目的支出年终尚未执行完毕或者因故未执行，且下年需要按原用途继续使用的资金。</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第二十五条</w:t>
      </w:r>
      <w:r w:rsidRPr="0012185A">
        <w:rPr>
          <w:rFonts w:ascii="Arial" w:hAnsi="Arial" w:cs="Arial" w:hint="eastAsia"/>
        </w:rPr>
        <w:t xml:space="preserve"> </w:t>
      </w:r>
      <w:r w:rsidRPr="0012185A">
        <w:rPr>
          <w:rFonts w:ascii="Arial" w:hAnsi="Arial" w:cs="Arial" w:hint="eastAsia"/>
        </w:rPr>
        <w:t>符合预算收入、预算支出和预算结余定义及其确认条件的项目应当列入政府决算报表。</w:t>
      </w:r>
    </w:p>
    <w:p w:rsidR="0012185A" w:rsidRPr="0012185A" w:rsidRDefault="0012185A" w:rsidP="0012185A">
      <w:pPr>
        <w:pStyle w:val="a3"/>
        <w:spacing w:line="432" w:lineRule="auto"/>
        <w:ind w:right="480"/>
        <w:jc w:val="center"/>
        <w:rPr>
          <w:rFonts w:ascii="Arial" w:hAnsi="Arial" w:cs="Arial" w:hint="eastAsia"/>
        </w:rPr>
      </w:pPr>
      <w:r w:rsidRPr="0012185A">
        <w:rPr>
          <w:rFonts w:ascii="Arial" w:hAnsi="Arial" w:cs="Arial" w:hint="eastAsia"/>
        </w:rPr>
        <w:t>第四章</w:t>
      </w:r>
      <w:r w:rsidRPr="0012185A">
        <w:rPr>
          <w:rFonts w:ascii="Arial" w:hAnsi="Arial" w:cs="Arial" w:hint="eastAsia"/>
        </w:rPr>
        <w:t xml:space="preserve"> </w:t>
      </w:r>
      <w:r w:rsidRPr="0012185A">
        <w:rPr>
          <w:rFonts w:ascii="Arial" w:hAnsi="Arial" w:cs="Arial" w:hint="eastAsia"/>
        </w:rPr>
        <w:t>政府财务会计要素</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第二十六条　政府财务会计要素包括资产、负债、净资产、收入和费用。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第一节</w:t>
      </w:r>
      <w:r w:rsidRPr="0012185A">
        <w:rPr>
          <w:rFonts w:ascii="Arial" w:hAnsi="Arial" w:cs="Arial" w:hint="eastAsia"/>
        </w:rPr>
        <w:t xml:space="preserve"> </w:t>
      </w:r>
      <w:r w:rsidRPr="0012185A">
        <w:rPr>
          <w:rFonts w:ascii="Arial" w:hAnsi="Arial" w:cs="Arial" w:hint="eastAsia"/>
        </w:rPr>
        <w:t>资</w:t>
      </w:r>
      <w:r w:rsidRPr="0012185A">
        <w:rPr>
          <w:rFonts w:ascii="Arial" w:hAnsi="Arial" w:cs="Arial" w:hint="eastAsia"/>
        </w:rPr>
        <w:t xml:space="preserve"> </w:t>
      </w:r>
      <w:r w:rsidRPr="0012185A">
        <w:rPr>
          <w:rFonts w:ascii="Arial" w:hAnsi="Arial" w:cs="Arial" w:hint="eastAsia"/>
        </w:rPr>
        <w:t>产</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第二十七条</w:t>
      </w:r>
      <w:r w:rsidRPr="0012185A">
        <w:rPr>
          <w:rFonts w:ascii="Arial" w:hAnsi="Arial" w:cs="Arial" w:hint="eastAsia"/>
        </w:rPr>
        <w:t xml:space="preserve">  </w:t>
      </w:r>
      <w:r w:rsidRPr="0012185A">
        <w:rPr>
          <w:rFonts w:ascii="Arial" w:hAnsi="Arial" w:cs="Arial" w:hint="eastAsia"/>
        </w:rPr>
        <w:t>资产是指政府会计主体过去的经济业务或者事项形成的，由政府会计主体控制的，预期能够产生服务潜力或者带来经济利益流入的经济资源。</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服务潜力是指政府会计主体利用资产提供公共产品和服务以履行政府职能的潜在能力。</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经济利益流入表现为现金及现金等价物的流入，或者现金及现金等价物流出的减少。</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第二十八条</w:t>
      </w:r>
      <w:r w:rsidRPr="0012185A">
        <w:rPr>
          <w:rFonts w:ascii="Arial" w:hAnsi="Arial" w:cs="Arial" w:hint="eastAsia"/>
        </w:rPr>
        <w:t xml:space="preserve">  </w:t>
      </w:r>
      <w:r w:rsidRPr="0012185A">
        <w:rPr>
          <w:rFonts w:ascii="Arial" w:hAnsi="Arial" w:cs="Arial" w:hint="eastAsia"/>
        </w:rPr>
        <w:t>政府会计主体的资产按照流动性，分为流动资产和非流动资产。</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流动资产是指预计在</w:t>
      </w:r>
      <w:r w:rsidRPr="0012185A">
        <w:rPr>
          <w:rFonts w:ascii="Arial" w:hAnsi="Arial" w:cs="Arial" w:hint="eastAsia"/>
        </w:rPr>
        <w:t>1</w:t>
      </w:r>
      <w:r w:rsidRPr="0012185A">
        <w:rPr>
          <w:rFonts w:ascii="Arial" w:hAnsi="Arial" w:cs="Arial" w:hint="eastAsia"/>
        </w:rPr>
        <w:t>年内（含</w:t>
      </w:r>
      <w:r w:rsidRPr="0012185A">
        <w:rPr>
          <w:rFonts w:ascii="Arial" w:hAnsi="Arial" w:cs="Arial" w:hint="eastAsia"/>
        </w:rPr>
        <w:t>1</w:t>
      </w:r>
      <w:r w:rsidRPr="0012185A">
        <w:rPr>
          <w:rFonts w:ascii="Arial" w:hAnsi="Arial" w:cs="Arial" w:hint="eastAsia"/>
        </w:rPr>
        <w:t>年）耗用或者可以变现的资产，包括货币资金、短期投资、应收及预付款项、存货等。</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非流动资产是指流动资产以外的资产，包括固定资产、在建工程、无形资产、长期投资、公共基础设施、政府储备资产、文物文化资产、保障性住房和自然资源资产等。</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第二十九条　符合本准则第二十七条规定的资产定义的经济资源，在同时满足以下条件时，确认为资产：</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（一）与该经济资源相关的服务潜力很可能实现或者经济利益很可能流入政府会计主体；</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（二）该经济资源的成本或者价值能够可靠地计量。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第三十条　资产的计量属性主要包括历史成本、重置成本、现值、公允价值和名义金额。</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在历史成本计量下，资产按照取得时支付的现金金额或者支付对价的公允价值计量。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在重置成本计量下，资产按照现在购买相同或者相似资产所需支付的现金金额计量。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在现值计量下，资产按照预计从其持续使用和最终处置中所产生的未来净现金流入量的折现金额计量。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在公允价值计量下，资产按照市场参与者在计量日发生的有序交易中，出售资产所能收到的价格计量。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无法采用上述计量属性的，采用名义金额（即人民币</w:t>
      </w:r>
      <w:r w:rsidRPr="0012185A">
        <w:rPr>
          <w:rFonts w:ascii="Arial" w:hAnsi="Arial" w:cs="Arial" w:hint="eastAsia"/>
        </w:rPr>
        <w:t>1</w:t>
      </w:r>
      <w:r w:rsidRPr="0012185A">
        <w:rPr>
          <w:rFonts w:ascii="Arial" w:hAnsi="Arial" w:cs="Arial" w:hint="eastAsia"/>
        </w:rPr>
        <w:t>元）计量。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第三十一条</w:t>
      </w:r>
      <w:r w:rsidRPr="0012185A">
        <w:rPr>
          <w:rFonts w:ascii="Arial" w:hAnsi="Arial" w:cs="Arial" w:hint="eastAsia"/>
        </w:rPr>
        <w:t xml:space="preserve">  </w:t>
      </w:r>
      <w:r w:rsidRPr="0012185A">
        <w:rPr>
          <w:rFonts w:ascii="Arial" w:hAnsi="Arial" w:cs="Arial" w:hint="eastAsia"/>
        </w:rPr>
        <w:t>政府会计主体在对资产进行计量时，一般应当采用历史成本。</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采用重置成本、现值、公允价值计量的，应当保证所确定的资产金额能够持续、可靠计量。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第三十二条</w:t>
      </w:r>
      <w:r w:rsidRPr="0012185A">
        <w:rPr>
          <w:rFonts w:ascii="Arial" w:hAnsi="Arial" w:cs="Arial" w:hint="eastAsia"/>
        </w:rPr>
        <w:t xml:space="preserve"> </w:t>
      </w:r>
      <w:r w:rsidRPr="0012185A">
        <w:rPr>
          <w:rFonts w:ascii="Arial" w:hAnsi="Arial" w:cs="Arial" w:hint="eastAsia"/>
        </w:rPr>
        <w:t>符合资产定义和资产确认条件的项目，应当列入资产负债表。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第二节</w:t>
      </w:r>
      <w:r w:rsidRPr="0012185A">
        <w:rPr>
          <w:rFonts w:ascii="Arial" w:hAnsi="Arial" w:cs="Arial" w:hint="eastAsia"/>
        </w:rPr>
        <w:t xml:space="preserve"> </w:t>
      </w:r>
      <w:r w:rsidRPr="0012185A">
        <w:rPr>
          <w:rFonts w:ascii="Arial" w:hAnsi="Arial" w:cs="Arial" w:hint="eastAsia"/>
        </w:rPr>
        <w:t>负</w:t>
      </w:r>
      <w:r w:rsidRPr="0012185A">
        <w:rPr>
          <w:rFonts w:ascii="Arial" w:hAnsi="Arial" w:cs="Arial" w:hint="eastAsia"/>
        </w:rPr>
        <w:t xml:space="preserve"> </w:t>
      </w:r>
      <w:r w:rsidRPr="0012185A">
        <w:rPr>
          <w:rFonts w:ascii="Arial" w:hAnsi="Arial" w:cs="Arial" w:hint="eastAsia"/>
        </w:rPr>
        <w:t>债</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第三十三条　负债是指政府会计主体过去的经济业务或者事项形成的，预期会导致经济资源流出政府会计主体的现时义务。</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现时义务是指政府会计主体在现行条件下已承担的义务。未来发生的经济业务或者事项形成的义务不属于现时义务，不应当确认为负债。</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第三十四条</w:t>
      </w:r>
      <w:r w:rsidRPr="0012185A">
        <w:rPr>
          <w:rFonts w:ascii="Arial" w:hAnsi="Arial" w:cs="Arial" w:hint="eastAsia"/>
        </w:rPr>
        <w:t xml:space="preserve">  </w:t>
      </w:r>
      <w:r w:rsidRPr="0012185A">
        <w:rPr>
          <w:rFonts w:ascii="Arial" w:hAnsi="Arial" w:cs="Arial" w:hint="eastAsia"/>
        </w:rPr>
        <w:t>政府会计主体的负债按照流动性，分为流动负债和非流动负债。</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流动负债是指预计在</w:t>
      </w:r>
      <w:r w:rsidRPr="0012185A">
        <w:rPr>
          <w:rFonts w:ascii="Arial" w:hAnsi="Arial" w:cs="Arial" w:hint="eastAsia"/>
        </w:rPr>
        <w:t>1</w:t>
      </w:r>
      <w:r w:rsidRPr="0012185A">
        <w:rPr>
          <w:rFonts w:ascii="Arial" w:hAnsi="Arial" w:cs="Arial" w:hint="eastAsia"/>
        </w:rPr>
        <w:t>年内（含</w:t>
      </w:r>
      <w:r w:rsidRPr="0012185A">
        <w:rPr>
          <w:rFonts w:ascii="Arial" w:hAnsi="Arial" w:cs="Arial" w:hint="eastAsia"/>
        </w:rPr>
        <w:t>1</w:t>
      </w:r>
      <w:r w:rsidRPr="0012185A">
        <w:rPr>
          <w:rFonts w:ascii="Arial" w:hAnsi="Arial" w:cs="Arial" w:hint="eastAsia"/>
        </w:rPr>
        <w:t>年）偿还的负债，包括应付及预收款项、应付职工薪酬、应缴款项等。</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非流动负债是指流动负债以外的负债，包括长期应付款、应付政府债券和政府依法担保形成的债务等。</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第三十五条　符合本准则第三十三条规定的负债定义的义务，在同时满足以下条件时，确认为负债：</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（一）履行该义务很可能导致含有服务潜力或者经济利益的经济资源流出政府会计主体；</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（二）该义务的金额能够可靠地计量。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第三十六条　负债的计量属性主要包括历史成本、现值和公允价值。</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在历史成本计量下，负债按照因承担现时义务而实际收到的款项或者资产的金额，或者承担现时义务的合同金额，或者按照为偿还负债预期需要支付的现金计量。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在现值计量下，负债按照预计期限内需要偿还的未来净现金流出量的折现金额计量。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在公允价值计量下，负债按照市场参与者在计量日发生的有序交易中，转移负债所需支付的价格计量。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第三十七条</w:t>
      </w:r>
      <w:r w:rsidRPr="0012185A">
        <w:rPr>
          <w:rFonts w:ascii="Arial" w:hAnsi="Arial" w:cs="Arial" w:hint="eastAsia"/>
        </w:rPr>
        <w:t xml:space="preserve">  </w:t>
      </w:r>
      <w:r w:rsidRPr="0012185A">
        <w:rPr>
          <w:rFonts w:ascii="Arial" w:hAnsi="Arial" w:cs="Arial" w:hint="eastAsia"/>
        </w:rPr>
        <w:t>政府会计主体在对负债进行计量时，一般应当采用历史成本。</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采用现值、公允价值计量的，应当保证所确定的负债金额能够持续、可靠计量。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第三十八条　符合负债定义和负债确认条件的项目，应当列入资产负债表。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第三节</w:t>
      </w:r>
      <w:r w:rsidRPr="0012185A">
        <w:rPr>
          <w:rFonts w:ascii="Arial" w:hAnsi="Arial" w:cs="Arial" w:hint="eastAsia"/>
        </w:rPr>
        <w:t xml:space="preserve"> </w:t>
      </w:r>
      <w:r w:rsidRPr="0012185A">
        <w:rPr>
          <w:rFonts w:ascii="Arial" w:hAnsi="Arial" w:cs="Arial" w:hint="eastAsia"/>
        </w:rPr>
        <w:t>净资产</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第三十九条</w:t>
      </w:r>
      <w:r w:rsidRPr="0012185A">
        <w:rPr>
          <w:rFonts w:ascii="Arial" w:hAnsi="Arial" w:cs="Arial" w:hint="eastAsia"/>
        </w:rPr>
        <w:t xml:space="preserve">  </w:t>
      </w:r>
      <w:r w:rsidRPr="0012185A">
        <w:rPr>
          <w:rFonts w:ascii="Arial" w:hAnsi="Arial" w:cs="Arial" w:hint="eastAsia"/>
        </w:rPr>
        <w:t>净资产是指政府会计主体资产扣除负债后的净额。</w:t>
      </w:r>
    </w:p>
    <w:p w:rsidR="0012185A" w:rsidRDefault="0012185A" w:rsidP="0012185A">
      <w:pPr>
        <w:pStyle w:val="a3"/>
        <w:spacing w:line="432" w:lineRule="auto"/>
        <w:ind w:right="480" w:firstLine="480"/>
        <w:rPr>
          <w:rFonts w:ascii="Arial" w:hAnsi="Arial" w:cs="Arial" w:hint="eastAsia"/>
        </w:rPr>
      </w:pPr>
      <w:r w:rsidRPr="0012185A">
        <w:rPr>
          <w:rFonts w:ascii="Arial" w:hAnsi="Arial" w:cs="Arial" w:hint="eastAsia"/>
        </w:rPr>
        <w:t>第四十条</w:t>
      </w:r>
      <w:r w:rsidRPr="0012185A">
        <w:rPr>
          <w:rFonts w:ascii="Arial" w:hAnsi="Arial" w:cs="Arial" w:hint="eastAsia"/>
        </w:rPr>
        <w:t xml:space="preserve">  </w:t>
      </w:r>
      <w:r w:rsidRPr="0012185A">
        <w:rPr>
          <w:rFonts w:ascii="Arial" w:hAnsi="Arial" w:cs="Arial" w:hint="eastAsia"/>
        </w:rPr>
        <w:t>净资产金额取决于资产和负债的计量。</w:t>
      </w:r>
      <w:r w:rsidRPr="0012185A">
        <w:rPr>
          <w:rFonts w:ascii="Arial" w:hAnsi="Arial" w:cs="Arial" w:hint="eastAsia"/>
        </w:rPr>
        <w:t xml:space="preserve"> </w:t>
      </w:r>
      <w:r w:rsidRPr="0012185A">
        <w:rPr>
          <w:rFonts w:ascii="Arial" w:hAnsi="Arial" w:cs="Arial" w:hint="eastAsia"/>
        </w:rPr>
        <w:t xml:space="preserve">　　</w:t>
      </w:r>
    </w:p>
    <w:p w:rsidR="0012185A" w:rsidRPr="0012185A" w:rsidRDefault="0012185A" w:rsidP="0012185A">
      <w:pPr>
        <w:pStyle w:val="a3"/>
        <w:spacing w:line="432" w:lineRule="auto"/>
        <w:ind w:right="480" w:firstLine="480"/>
        <w:rPr>
          <w:rFonts w:ascii="Arial" w:hAnsi="Arial" w:cs="Arial" w:hint="eastAsia"/>
        </w:rPr>
      </w:pPr>
      <w:r w:rsidRPr="0012185A">
        <w:rPr>
          <w:rFonts w:ascii="Arial" w:hAnsi="Arial" w:cs="Arial" w:hint="eastAsia"/>
        </w:rPr>
        <w:t>第四十一条</w:t>
      </w:r>
      <w:r w:rsidRPr="0012185A">
        <w:rPr>
          <w:rFonts w:ascii="Arial" w:hAnsi="Arial" w:cs="Arial" w:hint="eastAsia"/>
        </w:rPr>
        <w:t xml:space="preserve">  </w:t>
      </w:r>
      <w:r w:rsidRPr="0012185A">
        <w:rPr>
          <w:rFonts w:ascii="Arial" w:hAnsi="Arial" w:cs="Arial" w:hint="eastAsia"/>
        </w:rPr>
        <w:t>净资产项目应当列入资产负债表。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第四节</w:t>
      </w:r>
      <w:r w:rsidRPr="0012185A">
        <w:rPr>
          <w:rFonts w:ascii="Arial" w:hAnsi="Arial" w:cs="Arial" w:hint="eastAsia"/>
        </w:rPr>
        <w:t xml:space="preserve"> </w:t>
      </w:r>
      <w:r w:rsidRPr="0012185A">
        <w:rPr>
          <w:rFonts w:ascii="Arial" w:hAnsi="Arial" w:cs="Arial" w:hint="eastAsia"/>
        </w:rPr>
        <w:t>收</w:t>
      </w:r>
      <w:r w:rsidRPr="0012185A">
        <w:rPr>
          <w:rFonts w:ascii="Arial" w:hAnsi="Arial" w:cs="Arial" w:hint="eastAsia"/>
        </w:rPr>
        <w:t xml:space="preserve"> </w:t>
      </w:r>
      <w:r w:rsidRPr="0012185A">
        <w:rPr>
          <w:rFonts w:ascii="Arial" w:hAnsi="Arial" w:cs="Arial" w:hint="eastAsia"/>
        </w:rPr>
        <w:t>入</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第四十二条　收入是指报告期</w:t>
      </w:r>
      <w:proofErr w:type="gramStart"/>
      <w:r w:rsidRPr="0012185A">
        <w:rPr>
          <w:rFonts w:ascii="Arial" w:hAnsi="Arial" w:cs="Arial" w:hint="eastAsia"/>
        </w:rPr>
        <w:t>内导致</w:t>
      </w:r>
      <w:proofErr w:type="gramEnd"/>
      <w:r w:rsidRPr="0012185A">
        <w:rPr>
          <w:rFonts w:ascii="Arial" w:hAnsi="Arial" w:cs="Arial" w:hint="eastAsia"/>
        </w:rPr>
        <w:t>政府会计主体净资产增加的、含有服务潜力或者经济利益的经济资源的流入。</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第四十三条　收入的确认应当同时满足以下条件：</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（一）与收入相关的含有服务潜力或者经济利益的经济资源很可能流入政府会计主体；</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（二）含有服务潜力或者经济利益的经济资源流入会导致政府会计主体资产增加或者负债减少；</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（三）流入金额能够可靠地计量。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第四十四条</w:t>
      </w:r>
      <w:r w:rsidRPr="0012185A">
        <w:rPr>
          <w:rFonts w:ascii="Arial" w:hAnsi="Arial" w:cs="Arial" w:hint="eastAsia"/>
        </w:rPr>
        <w:t xml:space="preserve">  </w:t>
      </w:r>
      <w:r w:rsidRPr="0012185A">
        <w:rPr>
          <w:rFonts w:ascii="Arial" w:hAnsi="Arial" w:cs="Arial" w:hint="eastAsia"/>
        </w:rPr>
        <w:t>符合收入定义和收入确认条件的项目，应当列入收入费用表。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第五节</w:t>
      </w:r>
      <w:r w:rsidRPr="0012185A">
        <w:rPr>
          <w:rFonts w:ascii="Arial" w:hAnsi="Arial" w:cs="Arial" w:hint="eastAsia"/>
        </w:rPr>
        <w:t xml:space="preserve"> </w:t>
      </w:r>
      <w:r w:rsidRPr="0012185A">
        <w:rPr>
          <w:rFonts w:ascii="Arial" w:hAnsi="Arial" w:cs="Arial" w:hint="eastAsia"/>
        </w:rPr>
        <w:t>费</w:t>
      </w:r>
      <w:r w:rsidRPr="0012185A">
        <w:rPr>
          <w:rFonts w:ascii="Arial" w:hAnsi="Arial" w:cs="Arial" w:hint="eastAsia"/>
        </w:rPr>
        <w:t xml:space="preserve"> </w:t>
      </w:r>
      <w:r w:rsidRPr="0012185A">
        <w:rPr>
          <w:rFonts w:ascii="Arial" w:hAnsi="Arial" w:cs="Arial" w:hint="eastAsia"/>
        </w:rPr>
        <w:t>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第四十五条</w:t>
      </w:r>
      <w:r w:rsidRPr="0012185A">
        <w:rPr>
          <w:rFonts w:ascii="Arial" w:hAnsi="Arial" w:cs="Arial" w:hint="eastAsia"/>
        </w:rPr>
        <w:t xml:space="preserve"> </w:t>
      </w:r>
      <w:r w:rsidRPr="0012185A">
        <w:rPr>
          <w:rFonts w:ascii="Arial" w:hAnsi="Arial" w:cs="Arial" w:hint="eastAsia"/>
        </w:rPr>
        <w:t>费用是指报告期</w:t>
      </w:r>
      <w:proofErr w:type="gramStart"/>
      <w:r w:rsidRPr="0012185A">
        <w:rPr>
          <w:rFonts w:ascii="Arial" w:hAnsi="Arial" w:cs="Arial" w:hint="eastAsia"/>
        </w:rPr>
        <w:t>内导致</w:t>
      </w:r>
      <w:proofErr w:type="gramEnd"/>
      <w:r w:rsidRPr="0012185A">
        <w:rPr>
          <w:rFonts w:ascii="Arial" w:hAnsi="Arial" w:cs="Arial" w:hint="eastAsia"/>
        </w:rPr>
        <w:t>政府会计主体净资产减少的、含有服务潜力或者经济利益的经济资源的流出。</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第四十六条</w:t>
      </w:r>
      <w:r w:rsidRPr="0012185A">
        <w:rPr>
          <w:rFonts w:ascii="Arial" w:hAnsi="Arial" w:cs="Arial" w:hint="eastAsia"/>
        </w:rPr>
        <w:t xml:space="preserve"> </w:t>
      </w:r>
      <w:r w:rsidRPr="0012185A">
        <w:rPr>
          <w:rFonts w:ascii="Arial" w:hAnsi="Arial" w:cs="Arial" w:hint="eastAsia"/>
        </w:rPr>
        <w:t>费用的确认应当同时满足以下条件：</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（一）与费用相关的含有服务潜力或者经济利益的经济资源很可能流出政府会计主体；</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（二）含有服务潜力或者经济利益的经济资源流出会导致政府会计主体资产减少或者负债增加；</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（三）流出金额能够可靠地计量。</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第四十七条</w:t>
      </w:r>
      <w:r w:rsidRPr="0012185A">
        <w:rPr>
          <w:rFonts w:ascii="Arial" w:hAnsi="Arial" w:cs="Arial" w:hint="eastAsia"/>
        </w:rPr>
        <w:t xml:space="preserve">  </w:t>
      </w:r>
      <w:r w:rsidRPr="0012185A">
        <w:rPr>
          <w:rFonts w:ascii="Arial" w:hAnsi="Arial" w:cs="Arial" w:hint="eastAsia"/>
        </w:rPr>
        <w:t>符合费用定义和费用确认条件的项目，应当列入收入费用表。</w:t>
      </w:r>
      <w:r w:rsidRPr="0012185A">
        <w:rPr>
          <w:rFonts w:ascii="Arial" w:hAnsi="Arial" w:cs="Arial" w:hint="eastAsia"/>
        </w:rPr>
        <w:t xml:space="preserve"> </w:t>
      </w:r>
    </w:p>
    <w:p w:rsidR="0012185A" w:rsidRPr="0012185A" w:rsidRDefault="0012185A" w:rsidP="0012185A">
      <w:pPr>
        <w:pStyle w:val="a3"/>
        <w:spacing w:line="432" w:lineRule="auto"/>
        <w:ind w:right="480"/>
        <w:jc w:val="center"/>
        <w:rPr>
          <w:rFonts w:ascii="Arial" w:hAnsi="Arial" w:cs="Arial" w:hint="eastAsia"/>
        </w:rPr>
      </w:pPr>
      <w:r w:rsidRPr="0012185A">
        <w:rPr>
          <w:rFonts w:ascii="Arial" w:hAnsi="Arial" w:cs="Arial" w:hint="eastAsia"/>
        </w:rPr>
        <w:t>第五章　政府决算报告和财务报告</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第四十八条</w:t>
      </w:r>
      <w:r w:rsidRPr="0012185A">
        <w:rPr>
          <w:rFonts w:ascii="Arial" w:hAnsi="Arial" w:cs="Arial" w:hint="eastAsia"/>
        </w:rPr>
        <w:t xml:space="preserve"> </w:t>
      </w:r>
      <w:r w:rsidRPr="0012185A">
        <w:rPr>
          <w:rFonts w:ascii="Arial" w:hAnsi="Arial" w:cs="Arial" w:hint="eastAsia"/>
        </w:rPr>
        <w:t>政府决算报告是综合反映政府会计主体年度预算收支执行结果的文件。</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政府决算报告应当包括决算报表和其他应当在决算报告中反映的相关信息和资料。</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政府决算报告的具体内容及编制要求等，由财政部另行规定。</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第四十九条</w:t>
      </w:r>
      <w:r w:rsidRPr="0012185A">
        <w:rPr>
          <w:rFonts w:ascii="Arial" w:hAnsi="Arial" w:cs="Arial" w:hint="eastAsia"/>
        </w:rPr>
        <w:t xml:space="preserve">  </w:t>
      </w:r>
      <w:r w:rsidRPr="0012185A">
        <w:rPr>
          <w:rFonts w:ascii="Arial" w:hAnsi="Arial" w:cs="Arial" w:hint="eastAsia"/>
        </w:rPr>
        <w:t>政府财务报告是反映政府会计主体某一特定日期的财务状况和某一会计期间的运行情况和现金流量等信息的文件。</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政府财务报告应当包括财务报表和其他应当在财务报告中披露的相关信息和资料。</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第五十条</w:t>
      </w:r>
      <w:r w:rsidRPr="0012185A">
        <w:rPr>
          <w:rFonts w:ascii="Arial" w:hAnsi="Arial" w:cs="Arial" w:hint="eastAsia"/>
        </w:rPr>
        <w:t xml:space="preserve">  </w:t>
      </w:r>
      <w:r w:rsidRPr="0012185A">
        <w:rPr>
          <w:rFonts w:ascii="Arial" w:hAnsi="Arial" w:cs="Arial" w:hint="eastAsia"/>
        </w:rPr>
        <w:t>政府财务报告包括政府综合财务报告和政府部门财务报告。</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政府综合财务报告是指由政府财政部门编制的，反映各级政府整体财务状况、运行情况和财政中长期可持续性的报告。</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政府部门财务报告是指政府各部门、各单位按规定编制的财务报告。</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第五十一条</w:t>
      </w:r>
      <w:r w:rsidRPr="0012185A">
        <w:rPr>
          <w:rFonts w:ascii="Arial" w:hAnsi="Arial" w:cs="Arial" w:hint="eastAsia"/>
        </w:rPr>
        <w:t xml:space="preserve"> </w:t>
      </w:r>
      <w:r w:rsidRPr="0012185A">
        <w:rPr>
          <w:rFonts w:ascii="Arial" w:hAnsi="Arial" w:cs="Arial" w:hint="eastAsia"/>
        </w:rPr>
        <w:t>财务报表是对政府会计主体财务状况、运行情况和现金流量等信息的结构性表述。</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财务报表包括会计报表和附注。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会计报表至少应当包括资产负债表、收入费用表和现金流量表。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政府会计主体应当根据相关规定编制合并财务报表。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第五十二条　资产负债表是反映政府会计主体在某一特定日期的财务状况的报表。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第五十三条　收入费用表是反映政府会计主体在一定会计期间运行情况的报表。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第五十四条　现金流量表是反映政府会计主体在一定会计期间现金及现金等价物流入和流出情况的报表。</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第五十五条　附注是对在资产负债表、收入费用表、现金流量表等报表中列示项目所作的进一步说明，以及对未能在这些报表中列示项目的说明。</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第五十六条</w:t>
      </w:r>
      <w:r w:rsidRPr="0012185A">
        <w:rPr>
          <w:rFonts w:ascii="Arial" w:hAnsi="Arial" w:cs="Arial" w:hint="eastAsia"/>
        </w:rPr>
        <w:t xml:space="preserve">  </w:t>
      </w:r>
      <w:r w:rsidRPr="0012185A">
        <w:rPr>
          <w:rFonts w:ascii="Arial" w:hAnsi="Arial" w:cs="Arial" w:hint="eastAsia"/>
        </w:rPr>
        <w:t>政府决算报告的编制主要以收付实现制为基础，以预算会计核算生成的数据为准。</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lastRenderedPageBreak/>
        <w:t xml:space="preserve">　　政府财务报告的编制主要以权责发生制为基础，以财务会计核算生成的数据为准。</w:t>
      </w:r>
    </w:p>
    <w:p w:rsidR="0012185A" w:rsidRPr="0012185A" w:rsidRDefault="0012185A" w:rsidP="0012185A">
      <w:pPr>
        <w:pStyle w:val="a3"/>
        <w:spacing w:line="432" w:lineRule="auto"/>
        <w:ind w:right="480"/>
        <w:jc w:val="center"/>
        <w:rPr>
          <w:rFonts w:ascii="Arial" w:hAnsi="Arial" w:cs="Arial" w:hint="eastAsia"/>
        </w:rPr>
      </w:pPr>
      <w:r w:rsidRPr="0012185A">
        <w:rPr>
          <w:rFonts w:ascii="Arial" w:hAnsi="Arial" w:cs="Arial" w:hint="eastAsia"/>
        </w:rPr>
        <w:t>第六章　附</w:t>
      </w:r>
      <w:r w:rsidRPr="0012185A">
        <w:rPr>
          <w:rFonts w:ascii="Arial" w:hAnsi="Arial" w:cs="Arial" w:hint="eastAsia"/>
        </w:rPr>
        <w:t xml:space="preserve"> </w:t>
      </w:r>
      <w:r w:rsidRPr="0012185A">
        <w:rPr>
          <w:rFonts w:ascii="Arial" w:hAnsi="Arial" w:cs="Arial" w:hint="eastAsia"/>
        </w:rPr>
        <w:t>则</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第五十七条</w:t>
      </w:r>
      <w:r w:rsidRPr="0012185A">
        <w:rPr>
          <w:rFonts w:ascii="Arial" w:hAnsi="Arial" w:cs="Arial" w:hint="eastAsia"/>
        </w:rPr>
        <w:t xml:space="preserve">  </w:t>
      </w:r>
      <w:r w:rsidRPr="0012185A">
        <w:rPr>
          <w:rFonts w:ascii="Arial" w:hAnsi="Arial" w:cs="Arial" w:hint="eastAsia"/>
        </w:rPr>
        <w:t>本准则所称会计核算，包括会计确认、计量、记录和报告各个环节，涵盖填制会计凭证、登记会计账簿、编制报告全过程。</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第五十八条</w:t>
      </w:r>
      <w:r w:rsidRPr="0012185A">
        <w:rPr>
          <w:rFonts w:ascii="Arial" w:hAnsi="Arial" w:cs="Arial" w:hint="eastAsia"/>
        </w:rPr>
        <w:t xml:space="preserve"> </w:t>
      </w:r>
      <w:r w:rsidRPr="0012185A">
        <w:rPr>
          <w:rFonts w:ascii="Arial" w:hAnsi="Arial" w:cs="Arial" w:hint="eastAsia"/>
        </w:rPr>
        <w:t>本准则所称预算会计，是指以收付实现制为基础对政府会计主体预算执行过程中发生的全部收入和全部支出进行会计核算，主要反映和监督预算收支执行情况的会计。</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第五十九条</w:t>
      </w:r>
      <w:r w:rsidRPr="0012185A">
        <w:rPr>
          <w:rFonts w:ascii="Arial" w:hAnsi="Arial" w:cs="Arial" w:hint="eastAsia"/>
        </w:rPr>
        <w:t xml:space="preserve">  </w:t>
      </w:r>
      <w:r w:rsidRPr="0012185A">
        <w:rPr>
          <w:rFonts w:ascii="Arial" w:hAnsi="Arial" w:cs="Arial" w:hint="eastAsia"/>
        </w:rPr>
        <w:t>本准则所称财务会计，是指以权责发生制为基础对政府会计主体发生的各项经济业务或者事项进行会计核算，主要反映和监督政府会计主体财务状况、运行情况和现金流量等的会计。</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第六十条</w:t>
      </w:r>
      <w:r w:rsidRPr="0012185A">
        <w:rPr>
          <w:rFonts w:ascii="Arial" w:hAnsi="Arial" w:cs="Arial" w:hint="eastAsia"/>
        </w:rPr>
        <w:t xml:space="preserve">  </w:t>
      </w:r>
      <w:r w:rsidRPr="0012185A">
        <w:rPr>
          <w:rFonts w:ascii="Arial" w:hAnsi="Arial" w:cs="Arial" w:hint="eastAsia"/>
        </w:rPr>
        <w:t>本准则所称收付实现制，是指以现金的实际收付为标志来确定本期收入和支出的会计核算基础。凡在当期实际收到的现金收入和支出，均应作为当期的收入和支出；凡是不属于当期的现金收入和支出，均不应当作为当期的收入和支出。</w:t>
      </w:r>
      <w:r w:rsidRPr="0012185A">
        <w:rPr>
          <w:rFonts w:ascii="Arial" w:hAnsi="Arial" w:cs="Arial" w:hint="eastAsia"/>
        </w:rPr>
        <w:t xml:space="preserve"> </w:t>
      </w:r>
    </w:p>
    <w:p w:rsidR="0012185A" w:rsidRPr="0012185A" w:rsidRDefault="0012185A" w:rsidP="0012185A">
      <w:pPr>
        <w:pStyle w:val="a3"/>
        <w:spacing w:line="432" w:lineRule="auto"/>
        <w:ind w:right="480"/>
        <w:rPr>
          <w:rFonts w:ascii="Arial" w:hAnsi="Arial" w:cs="Arial" w:hint="eastAsia"/>
        </w:rPr>
      </w:pPr>
      <w:r w:rsidRPr="0012185A">
        <w:rPr>
          <w:rFonts w:ascii="Arial" w:hAnsi="Arial" w:cs="Arial" w:hint="eastAsia"/>
        </w:rPr>
        <w:t xml:space="preserve">　　第六十一条</w:t>
      </w:r>
      <w:r w:rsidRPr="0012185A">
        <w:rPr>
          <w:rFonts w:ascii="Arial" w:hAnsi="Arial" w:cs="Arial" w:hint="eastAsia"/>
        </w:rPr>
        <w:t xml:space="preserve"> </w:t>
      </w:r>
      <w:r w:rsidRPr="0012185A">
        <w:rPr>
          <w:rFonts w:ascii="Arial" w:hAnsi="Arial" w:cs="Arial" w:hint="eastAsia"/>
        </w:rPr>
        <w:t>本准则所称权责发生制，是指以取得收取款项的权利或支付款项的义务为标志来确定本期收入和费用的会计核算基础。凡是当期已经实现的收入和已经发生的或应当负担的费用，不论款项是否收付，都应当作为当期的收入和费用；凡是不属于当期的收入和费用，即使款项已在当期收付，也不应当作为当期的收入和费用。</w:t>
      </w:r>
    </w:p>
    <w:p w:rsidR="0012185A" w:rsidRPr="0012185A" w:rsidRDefault="0012185A" w:rsidP="0012185A">
      <w:pPr>
        <w:pStyle w:val="a3"/>
        <w:spacing w:line="432" w:lineRule="auto"/>
        <w:ind w:right="480"/>
        <w:rPr>
          <w:rFonts w:ascii="Arial" w:hAnsi="Arial" w:cs="Arial"/>
        </w:rPr>
      </w:pPr>
      <w:r w:rsidRPr="0012185A">
        <w:rPr>
          <w:rFonts w:ascii="Arial" w:hAnsi="Arial" w:cs="Arial" w:hint="eastAsia"/>
        </w:rPr>
        <w:t xml:space="preserve">　　第六十二条　本准则自</w:t>
      </w:r>
      <w:r w:rsidRPr="0012185A">
        <w:rPr>
          <w:rFonts w:ascii="Arial" w:hAnsi="Arial" w:cs="Arial" w:hint="eastAsia"/>
        </w:rPr>
        <w:t>2017</w:t>
      </w:r>
      <w:r w:rsidRPr="0012185A">
        <w:rPr>
          <w:rFonts w:ascii="Arial" w:hAnsi="Arial" w:cs="Arial" w:hint="eastAsia"/>
        </w:rPr>
        <w:t>年</w:t>
      </w:r>
      <w:r w:rsidRPr="0012185A">
        <w:rPr>
          <w:rFonts w:ascii="Arial" w:hAnsi="Arial" w:cs="Arial" w:hint="eastAsia"/>
        </w:rPr>
        <w:t>1</w:t>
      </w:r>
      <w:r w:rsidRPr="0012185A">
        <w:rPr>
          <w:rFonts w:ascii="Arial" w:hAnsi="Arial" w:cs="Arial" w:hint="eastAsia"/>
        </w:rPr>
        <w:t>月</w:t>
      </w:r>
      <w:r w:rsidRPr="0012185A">
        <w:rPr>
          <w:rFonts w:ascii="Arial" w:hAnsi="Arial" w:cs="Arial" w:hint="eastAsia"/>
        </w:rPr>
        <w:t>1</w:t>
      </w:r>
      <w:r w:rsidRPr="0012185A">
        <w:rPr>
          <w:rFonts w:ascii="Arial" w:hAnsi="Arial" w:cs="Arial" w:hint="eastAsia"/>
        </w:rPr>
        <w:t>日起施行。</w:t>
      </w:r>
    </w:p>
    <w:sectPr w:rsidR="0012185A" w:rsidRPr="001218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A"/>
    <w:rsid w:val="0012185A"/>
    <w:rsid w:val="003D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85A"/>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12185A"/>
    <w:pPr>
      <w:ind w:leftChars="2500" w:left="100"/>
    </w:pPr>
  </w:style>
  <w:style w:type="character" w:customStyle="1" w:styleId="Char">
    <w:name w:val="日期 Char"/>
    <w:basedOn w:val="a0"/>
    <w:link w:val="a4"/>
    <w:uiPriority w:val="99"/>
    <w:semiHidden/>
    <w:rsid w:val="00121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185A"/>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12185A"/>
    <w:pPr>
      <w:ind w:leftChars="2500" w:left="100"/>
    </w:pPr>
  </w:style>
  <w:style w:type="character" w:customStyle="1" w:styleId="Char">
    <w:name w:val="日期 Char"/>
    <w:basedOn w:val="a0"/>
    <w:link w:val="a4"/>
    <w:uiPriority w:val="99"/>
    <w:semiHidden/>
    <w:rsid w:val="0012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1958">
      <w:bodyDiv w:val="1"/>
      <w:marLeft w:val="0"/>
      <w:marRight w:val="0"/>
      <w:marTop w:val="0"/>
      <w:marBottom w:val="0"/>
      <w:divBdr>
        <w:top w:val="none" w:sz="0" w:space="0" w:color="auto"/>
        <w:left w:val="none" w:sz="0" w:space="0" w:color="auto"/>
        <w:bottom w:val="none" w:sz="0" w:space="0" w:color="auto"/>
        <w:right w:val="none" w:sz="0" w:space="0" w:color="auto"/>
      </w:divBdr>
      <w:divsChild>
        <w:div w:id="1266226582">
          <w:marLeft w:val="0"/>
          <w:marRight w:val="0"/>
          <w:marTop w:val="0"/>
          <w:marBottom w:val="0"/>
          <w:divBdr>
            <w:top w:val="none" w:sz="0" w:space="0" w:color="auto"/>
            <w:left w:val="none" w:sz="0" w:space="0" w:color="auto"/>
            <w:bottom w:val="none" w:sz="0" w:space="0" w:color="auto"/>
            <w:right w:val="none" w:sz="0" w:space="0" w:color="auto"/>
          </w:divBdr>
          <w:divsChild>
            <w:div w:id="3455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17727">
      <w:bodyDiv w:val="1"/>
      <w:marLeft w:val="0"/>
      <w:marRight w:val="0"/>
      <w:marTop w:val="0"/>
      <w:marBottom w:val="0"/>
      <w:divBdr>
        <w:top w:val="none" w:sz="0" w:space="0" w:color="auto"/>
        <w:left w:val="none" w:sz="0" w:space="0" w:color="auto"/>
        <w:bottom w:val="none" w:sz="0" w:space="0" w:color="auto"/>
        <w:right w:val="none" w:sz="0" w:space="0" w:color="auto"/>
      </w:divBdr>
      <w:divsChild>
        <w:div w:id="1123116279">
          <w:marLeft w:val="0"/>
          <w:marRight w:val="0"/>
          <w:marTop w:val="0"/>
          <w:marBottom w:val="0"/>
          <w:divBdr>
            <w:top w:val="none" w:sz="0" w:space="0" w:color="auto"/>
            <w:left w:val="none" w:sz="0" w:space="0" w:color="auto"/>
            <w:bottom w:val="none" w:sz="0" w:space="0" w:color="auto"/>
            <w:right w:val="none" w:sz="0" w:space="0" w:color="auto"/>
          </w:divBdr>
          <w:divsChild>
            <w:div w:id="48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814</Words>
  <Characters>4640</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2018-04-18T03:27:00Z</dcterms:created>
  <dcterms:modified xsi:type="dcterms:W3CDTF">2018-04-18T03:33:00Z</dcterms:modified>
</cp:coreProperties>
</file>